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B368" w14:textId="77777777" w:rsidR="00C319D1" w:rsidRPr="00AC4884" w:rsidRDefault="007846CB">
      <w:pPr>
        <w:spacing w:before="77"/>
        <w:ind w:left="1633" w:right="1632"/>
        <w:jc w:val="center"/>
        <w:rPr>
          <w:rFonts w:asciiTheme="minorHAnsi" w:hAnsiTheme="minorHAnsi" w:cstheme="minorHAnsi"/>
          <w:bCs/>
        </w:rPr>
      </w:pPr>
      <w:r w:rsidRPr="00AC4884">
        <w:rPr>
          <w:rFonts w:asciiTheme="minorHAnsi" w:hAnsiTheme="minorHAnsi" w:cstheme="minorHAnsi"/>
          <w:bCs/>
        </w:rPr>
        <w:t>Associate Professor or Professor in Social Work</w:t>
      </w:r>
    </w:p>
    <w:p w14:paraId="3C2077E5" w14:textId="77777777" w:rsidR="00C319D1" w:rsidRPr="00AC4884" w:rsidRDefault="00C319D1">
      <w:pPr>
        <w:pStyle w:val="BodyText"/>
        <w:spacing w:before="2"/>
        <w:ind w:left="0"/>
        <w:rPr>
          <w:rFonts w:asciiTheme="minorHAnsi" w:hAnsiTheme="minorHAnsi" w:cstheme="minorHAnsi"/>
          <w:bCs/>
        </w:rPr>
      </w:pPr>
    </w:p>
    <w:p w14:paraId="44A4613C"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Position Overview</w:t>
      </w:r>
    </w:p>
    <w:p w14:paraId="71331ADA" w14:textId="4608FD54" w:rsidR="00C319D1" w:rsidRPr="00AC4884" w:rsidRDefault="007846CB">
      <w:pPr>
        <w:pStyle w:val="BodyText"/>
        <w:spacing w:before="159"/>
        <w:ind w:left="100" w:right="337"/>
        <w:rPr>
          <w:rFonts w:asciiTheme="minorHAnsi" w:hAnsiTheme="minorHAnsi" w:cstheme="minorHAnsi"/>
          <w:bCs/>
        </w:rPr>
      </w:pPr>
      <w:r w:rsidRPr="00AC4884">
        <w:rPr>
          <w:rFonts w:asciiTheme="minorHAnsi" w:hAnsiTheme="minorHAnsi" w:cstheme="minorHAnsi"/>
          <w:bCs/>
        </w:rPr>
        <w:t>The School of Social Work and Criminal Justice at the University of Washington Tacoma invites applications for a tenured Social Work faculty position. The successful candidate will be appointed a</w:t>
      </w:r>
      <w:r w:rsidR="00365AE4" w:rsidRPr="00AC4884">
        <w:rPr>
          <w:rFonts w:asciiTheme="minorHAnsi" w:hAnsiTheme="minorHAnsi" w:cstheme="minorHAnsi"/>
          <w:bCs/>
        </w:rPr>
        <w:t xml:space="preserve">t the rank of </w:t>
      </w:r>
      <w:r w:rsidRPr="00AC4884">
        <w:rPr>
          <w:rFonts w:asciiTheme="minorHAnsi" w:hAnsiTheme="minorHAnsi" w:cstheme="minorHAnsi"/>
          <w:bCs/>
        </w:rPr>
        <w:t>Associate Professor or Professor, commensurate with qualifications. This is a full-time, 100% FTE position with a 9-month service period and an expected start date of September 16, 2025.</w:t>
      </w:r>
    </w:p>
    <w:p w14:paraId="509A1827" w14:textId="7FAD7D1F" w:rsidR="00C319D1" w:rsidRPr="00AC4884" w:rsidRDefault="007846CB">
      <w:pPr>
        <w:pStyle w:val="BodyText"/>
        <w:spacing w:before="159"/>
        <w:ind w:left="100" w:right="305"/>
        <w:rPr>
          <w:rFonts w:asciiTheme="minorHAnsi" w:hAnsiTheme="minorHAnsi" w:cstheme="minorHAnsi"/>
          <w:bCs/>
        </w:rPr>
      </w:pPr>
      <w:r w:rsidRPr="00AC4884">
        <w:rPr>
          <w:rFonts w:asciiTheme="minorHAnsi" w:hAnsiTheme="minorHAnsi" w:cstheme="minorHAnsi"/>
          <w:bCs/>
        </w:rPr>
        <w:t>The successful candidate is expected to perform highly effective and inclusive teaching, using a variety of pedagogical techniques and technologies</w:t>
      </w:r>
      <w:r w:rsidR="00365AE4" w:rsidRPr="00AC4884">
        <w:rPr>
          <w:rFonts w:asciiTheme="minorHAnsi" w:hAnsiTheme="minorHAnsi" w:cstheme="minorHAnsi"/>
          <w:bCs/>
        </w:rPr>
        <w:t xml:space="preserve">, and the expected teaching load for this position is six courses per academic year. </w:t>
      </w:r>
      <w:r w:rsidRPr="00AC4884">
        <w:rPr>
          <w:rFonts w:asciiTheme="minorHAnsi" w:hAnsiTheme="minorHAnsi" w:cstheme="minorHAnsi"/>
          <w:bCs/>
        </w:rPr>
        <w:t>The successful candidate will develop and maintain an independent, high-impact research portfolio as well as participate in school, campus, institutional, professional, and community-engaged service.</w:t>
      </w:r>
    </w:p>
    <w:p w14:paraId="429D6CDB" w14:textId="77777777" w:rsidR="00C319D1" w:rsidRPr="00AC4884" w:rsidRDefault="00C319D1">
      <w:pPr>
        <w:pStyle w:val="BodyText"/>
        <w:spacing w:before="1"/>
        <w:ind w:left="0"/>
        <w:rPr>
          <w:rFonts w:asciiTheme="minorHAnsi" w:hAnsiTheme="minorHAnsi" w:cstheme="minorHAnsi"/>
          <w:bCs/>
        </w:rPr>
      </w:pPr>
    </w:p>
    <w:p w14:paraId="2C65DB7C"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University Background</w:t>
      </w:r>
    </w:p>
    <w:p w14:paraId="5AA1FA4A" w14:textId="77777777" w:rsidR="00C319D1" w:rsidRPr="00AC4884" w:rsidRDefault="007846CB">
      <w:pPr>
        <w:pStyle w:val="BodyText"/>
        <w:spacing w:before="164" w:line="259" w:lineRule="auto"/>
        <w:ind w:left="100" w:right="240"/>
        <w:rPr>
          <w:rFonts w:asciiTheme="minorHAnsi" w:hAnsiTheme="minorHAnsi" w:cstheme="minorHAnsi"/>
          <w:bCs/>
        </w:rPr>
      </w:pPr>
      <w:r w:rsidRPr="00AC4884">
        <w:rPr>
          <w:rFonts w:asciiTheme="minorHAnsi" w:hAnsiTheme="minorHAnsi" w:cstheme="minorHAnsi"/>
          <w:bCs/>
        </w:rPr>
        <w:t>The University of Washington Tacoma (UWT) is one of three campuses of the University of Washington (UW) and is an urban-serving institution committed to providing a community-engaged education. The UWT campus is located on the ancestral lands of the Puyallup Tribe of Indians within the traditional territories of the Coast Salish people. Established in 1990, our thriving downtown campus serves a diverse student body of a wide range of ages and backgrounds, including an overall undergraduate population consisting over more than 50% first-generation college students. Our approximately 5,000 students, across seven schools, are offered a variety of professional and academic degrees and certifications.</w:t>
      </w:r>
    </w:p>
    <w:p w14:paraId="130BC559" w14:textId="77777777" w:rsidR="00C319D1" w:rsidRPr="00AC4884" w:rsidRDefault="007846CB">
      <w:pPr>
        <w:pStyle w:val="BodyText"/>
        <w:spacing w:before="156" w:line="259" w:lineRule="auto"/>
        <w:ind w:left="100" w:right="271"/>
        <w:rPr>
          <w:rFonts w:asciiTheme="minorHAnsi" w:hAnsiTheme="minorHAnsi" w:cstheme="minorHAnsi"/>
          <w:bCs/>
        </w:rPr>
      </w:pPr>
      <w:r w:rsidRPr="00AC4884">
        <w:rPr>
          <w:rFonts w:asciiTheme="minorHAnsi" w:hAnsiTheme="minorHAnsi" w:cstheme="minorHAnsi"/>
          <w:bCs/>
        </w:rPr>
        <w:t>The UWT is a Minority-Serving Institution (MSI) and federally funded Asian American Native American Pacific Islander-Serving Institution (AANAPISI). In particular, the Tacoma campus is renowned for its community-engaged activities, wherein many of its faculty, students, and staff are taking an active role in transforming the city and region into a thriving and just collective of communities. The UW is among the 119 institutions of higher education in the U.S. to receive the Carnegie Community Engagement Classification,</w:t>
      </w:r>
      <w:r w:rsidRPr="00AC4884">
        <w:rPr>
          <w:rFonts w:asciiTheme="minorHAnsi" w:hAnsiTheme="minorHAnsi" w:cstheme="minorHAnsi"/>
          <w:bCs/>
          <w:spacing w:val="-5"/>
        </w:rPr>
        <w:t xml:space="preserve"> </w:t>
      </w:r>
      <w:r w:rsidRPr="00AC4884">
        <w:rPr>
          <w:rFonts w:asciiTheme="minorHAnsi" w:hAnsiTheme="minorHAnsi" w:cstheme="minorHAnsi"/>
          <w:bCs/>
        </w:rPr>
        <w:t>an</w:t>
      </w:r>
      <w:r w:rsidRPr="00AC4884">
        <w:rPr>
          <w:rFonts w:asciiTheme="minorHAnsi" w:hAnsiTheme="minorHAnsi" w:cstheme="minorHAnsi"/>
          <w:bCs/>
          <w:spacing w:val="-5"/>
        </w:rPr>
        <w:t xml:space="preserve"> </w:t>
      </w:r>
      <w:r w:rsidRPr="00AC4884">
        <w:rPr>
          <w:rFonts w:asciiTheme="minorHAnsi" w:hAnsiTheme="minorHAnsi" w:cstheme="minorHAnsi"/>
          <w:bCs/>
        </w:rPr>
        <w:t>elective</w:t>
      </w:r>
      <w:r w:rsidRPr="00AC4884">
        <w:rPr>
          <w:rFonts w:asciiTheme="minorHAnsi" w:hAnsiTheme="minorHAnsi" w:cstheme="minorHAnsi"/>
          <w:bCs/>
          <w:spacing w:val="-5"/>
        </w:rPr>
        <w:t xml:space="preserve"> </w:t>
      </w:r>
      <w:r w:rsidRPr="00AC4884">
        <w:rPr>
          <w:rFonts w:asciiTheme="minorHAnsi" w:hAnsiTheme="minorHAnsi" w:cstheme="minorHAnsi"/>
          <w:bCs/>
        </w:rPr>
        <w:t>designation</w:t>
      </w:r>
      <w:r w:rsidRPr="00AC4884">
        <w:rPr>
          <w:rFonts w:asciiTheme="minorHAnsi" w:hAnsiTheme="minorHAnsi" w:cstheme="minorHAnsi"/>
          <w:bCs/>
          <w:spacing w:val="-5"/>
        </w:rPr>
        <w:t xml:space="preserve"> </w:t>
      </w:r>
      <w:r w:rsidRPr="00AC4884">
        <w:rPr>
          <w:rFonts w:asciiTheme="minorHAnsi" w:hAnsiTheme="minorHAnsi" w:cstheme="minorHAnsi"/>
          <w:bCs/>
        </w:rPr>
        <w:t>denoting</w:t>
      </w:r>
      <w:r w:rsidRPr="00AC4884">
        <w:rPr>
          <w:rFonts w:asciiTheme="minorHAnsi" w:hAnsiTheme="minorHAnsi" w:cstheme="minorHAnsi"/>
          <w:bCs/>
          <w:spacing w:val="-4"/>
        </w:rPr>
        <w:t xml:space="preserve"> </w:t>
      </w:r>
      <w:r w:rsidRPr="00AC4884">
        <w:rPr>
          <w:rFonts w:asciiTheme="minorHAnsi" w:hAnsiTheme="minorHAnsi" w:cstheme="minorHAnsi"/>
          <w:bCs/>
        </w:rPr>
        <w:t>institutional</w:t>
      </w:r>
      <w:r w:rsidRPr="00AC4884">
        <w:rPr>
          <w:rFonts w:asciiTheme="minorHAnsi" w:hAnsiTheme="minorHAnsi" w:cstheme="minorHAnsi"/>
          <w:bCs/>
          <w:spacing w:val="-5"/>
        </w:rPr>
        <w:t xml:space="preserve"> </w:t>
      </w:r>
      <w:r w:rsidRPr="00AC4884">
        <w:rPr>
          <w:rFonts w:asciiTheme="minorHAnsi" w:hAnsiTheme="minorHAnsi" w:cstheme="minorHAnsi"/>
          <w:bCs/>
        </w:rPr>
        <w:t>commitment</w:t>
      </w:r>
      <w:r w:rsidRPr="00AC4884">
        <w:rPr>
          <w:rFonts w:asciiTheme="minorHAnsi" w:hAnsiTheme="minorHAnsi" w:cstheme="minorHAnsi"/>
          <w:bCs/>
          <w:spacing w:val="-5"/>
        </w:rPr>
        <w:t xml:space="preserve"> </w:t>
      </w:r>
      <w:r w:rsidRPr="00AC4884">
        <w:rPr>
          <w:rFonts w:asciiTheme="minorHAnsi" w:hAnsiTheme="minorHAnsi" w:cstheme="minorHAnsi"/>
          <w:bCs/>
        </w:rPr>
        <w:t>to</w:t>
      </w:r>
      <w:r w:rsidRPr="00AC4884">
        <w:rPr>
          <w:rFonts w:asciiTheme="minorHAnsi" w:hAnsiTheme="minorHAnsi" w:cstheme="minorHAnsi"/>
          <w:bCs/>
          <w:spacing w:val="-5"/>
        </w:rPr>
        <w:t xml:space="preserve"> </w:t>
      </w:r>
      <w:r w:rsidRPr="00AC4884">
        <w:rPr>
          <w:rFonts w:asciiTheme="minorHAnsi" w:hAnsiTheme="minorHAnsi" w:cstheme="minorHAnsi"/>
          <w:bCs/>
        </w:rPr>
        <w:t>community</w:t>
      </w:r>
      <w:r w:rsidRPr="00AC4884">
        <w:rPr>
          <w:rFonts w:asciiTheme="minorHAnsi" w:hAnsiTheme="minorHAnsi" w:cstheme="minorHAnsi"/>
          <w:bCs/>
          <w:spacing w:val="-5"/>
        </w:rPr>
        <w:t xml:space="preserve"> </w:t>
      </w:r>
      <w:r w:rsidRPr="00AC4884">
        <w:rPr>
          <w:rFonts w:asciiTheme="minorHAnsi" w:hAnsiTheme="minorHAnsi" w:cstheme="minorHAnsi"/>
          <w:bCs/>
        </w:rPr>
        <w:t>engagement.</w:t>
      </w:r>
    </w:p>
    <w:p w14:paraId="459EA05A" w14:textId="77777777" w:rsidR="00C319D1" w:rsidRPr="00AC4884" w:rsidRDefault="007846CB">
      <w:pPr>
        <w:pStyle w:val="BodyText"/>
        <w:spacing w:before="156" w:line="259" w:lineRule="auto"/>
        <w:ind w:left="100" w:right="129"/>
        <w:rPr>
          <w:rFonts w:asciiTheme="minorHAnsi" w:hAnsiTheme="minorHAnsi" w:cstheme="minorHAnsi"/>
          <w:bCs/>
        </w:rPr>
      </w:pPr>
      <w:r w:rsidRPr="00AC4884">
        <w:rPr>
          <w:rFonts w:asciiTheme="minorHAnsi" w:hAnsiTheme="minorHAnsi" w:cstheme="minorHAnsi"/>
          <w:bCs/>
        </w:rPr>
        <w:t>The UWT faculty has access to the resources of the UW, a major state-flagship research university, while working and teaching within a small campus setting. Consistent with the UWT urban-serving mission, our campus provides a unique environment for faculty to creatively develop their teaching, scholarship, and service portfolios, and to engage with the Tacoma community. UWT’s commitment to diversity and belonging is central to this mission, and to creating an atmosphere where students, staff, faculty, and community</w:t>
      </w:r>
      <w:r w:rsidRPr="00AC4884">
        <w:rPr>
          <w:rFonts w:asciiTheme="minorHAnsi" w:hAnsiTheme="minorHAnsi" w:cstheme="minorHAnsi"/>
          <w:bCs/>
          <w:spacing w:val="-4"/>
        </w:rPr>
        <w:t xml:space="preserve"> </w:t>
      </w:r>
      <w:r w:rsidRPr="00AC4884">
        <w:rPr>
          <w:rFonts w:asciiTheme="minorHAnsi" w:hAnsiTheme="minorHAnsi" w:cstheme="minorHAnsi"/>
          <w:bCs/>
        </w:rPr>
        <w:t>members</w:t>
      </w:r>
      <w:r w:rsidRPr="00AC4884">
        <w:rPr>
          <w:rFonts w:asciiTheme="minorHAnsi" w:hAnsiTheme="minorHAnsi" w:cstheme="minorHAnsi"/>
          <w:bCs/>
          <w:spacing w:val="-4"/>
        </w:rPr>
        <w:t xml:space="preserve"> </w:t>
      </w:r>
      <w:r w:rsidRPr="00AC4884">
        <w:rPr>
          <w:rFonts w:asciiTheme="minorHAnsi" w:hAnsiTheme="minorHAnsi" w:cstheme="minorHAnsi"/>
          <w:bCs/>
        </w:rPr>
        <w:t>find</w:t>
      </w:r>
      <w:r w:rsidRPr="00AC4884">
        <w:rPr>
          <w:rFonts w:asciiTheme="minorHAnsi" w:hAnsiTheme="minorHAnsi" w:cstheme="minorHAnsi"/>
          <w:bCs/>
          <w:spacing w:val="-4"/>
        </w:rPr>
        <w:t xml:space="preserve"> </w:t>
      </w:r>
      <w:r w:rsidRPr="00AC4884">
        <w:rPr>
          <w:rFonts w:asciiTheme="minorHAnsi" w:hAnsiTheme="minorHAnsi" w:cstheme="minorHAnsi"/>
          <w:bCs/>
        </w:rPr>
        <w:t>abundant</w:t>
      </w:r>
      <w:r w:rsidRPr="00AC4884">
        <w:rPr>
          <w:rFonts w:asciiTheme="minorHAnsi" w:hAnsiTheme="minorHAnsi" w:cstheme="minorHAnsi"/>
          <w:bCs/>
          <w:spacing w:val="-4"/>
        </w:rPr>
        <w:t xml:space="preserve"> </w:t>
      </w:r>
      <w:r w:rsidRPr="00AC4884">
        <w:rPr>
          <w:rFonts w:asciiTheme="minorHAnsi" w:hAnsiTheme="minorHAnsi" w:cstheme="minorHAnsi"/>
          <w:bCs/>
        </w:rPr>
        <w:t>opportunities</w:t>
      </w:r>
      <w:r w:rsidRPr="00AC4884">
        <w:rPr>
          <w:rFonts w:asciiTheme="minorHAnsi" w:hAnsiTheme="minorHAnsi" w:cstheme="minorHAnsi"/>
          <w:bCs/>
          <w:spacing w:val="-4"/>
        </w:rPr>
        <w:t xml:space="preserve"> </w:t>
      </w:r>
      <w:r w:rsidRPr="00AC4884">
        <w:rPr>
          <w:rFonts w:asciiTheme="minorHAnsi" w:hAnsiTheme="minorHAnsi" w:cstheme="minorHAnsi"/>
          <w:bCs/>
        </w:rPr>
        <w:t>for</w:t>
      </w:r>
      <w:r w:rsidRPr="00AC4884">
        <w:rPr>
          <w:rFonts w:asciiTheme="minorHAnsi" w:hAnsiTheme="minorHAnsi" w:cstheme="minorHAnsi"/>
          <w:bCs/>
          <w:spacing w:val="-4"/>
        </w:rPr>
        <w:t xml:space="preserve"> </w:t>
      </w:r>
      <w:r w:rsidRPr="00AC4884">
        <w:rPr>
          <w:rFonts w:asciiTheme="minorHAnsi" w:hAnsiTheme="minorHAnsi" w:cstheme="minorHAnsi"/>
          <w:bCs/>
        </w:rPr>
        <w:t>intellectual,</w:t>
      </w:r>
      <w:r w:rsidRPr="00AC4884">
        <w:rPr>
          <w:rFonts w:asciiTheme="minorHAnsi" w:hAnsiTheme="minorHAnsi" w:cstheme="minorHAnsi"/>
          <w:bCs/>
          <w:spacing w:val="-3"/>
        </w:rPr>
        <w:t xml:space="preserve"> </w:t>
      </w:r>
      <w:r w:rsidRPr="00AC4884">
        <w:rPr>
          <w:rFonts w:asciiTheme="minorHAnsi" w:hAnsiTheme="minorHAnsi" w:cstheme="minorHAnsi"/>
          <w:bCs/>
        </w:rPr>
        <w:t>personal,</w:t>
      </w:r>
      <w:r w:rsidRPr="00AC4884">
        <w:rPr>
          <w:rFonts w:asciiTheme="minorHAnsi" w:hAnsiTheme="minorHAnsi" w:cstheme="minorHAnsi"/>
          <w:bCs/>
          <w:spacing w:val="-4"/>
        </w:rPr>
        <w:t xml:space="preserve"> </w:t>
      </w:r>
      <w:r w:rsidRPr="00AC4884">
        <w:rPr>
          <w:rFonts w:asciiTheme="minorHAnsi" w:hAnsiTheme="minorHAnsi" w:cstheme="minorHAnsi"/>
          <w:bCs/>
        </w:rPr>
        <w:t>and</w:t>
      </w:r>
      <w:r w:rsidRPr="00AC4884">
        <w:rPr>
          <w:rFonts w:asciiTheme="minorHAnsi" w:hAnsiTheme="minorHAnsi" w:cstheme="minorHAnsi"/>
          <w:bCs/>
          <w:spacing w:val="-4"/>
        </w:rPr>
        <w:t xml:space="preserve"> </w:t>
      </w:r>
      <w:r w:rsidRPr="00AC4884">
        <w:rPr>
          <w:rFonts w:asciiTheme="minorHAnsi" w:hAnsiTheme="minorHAnsi" w:cstheme="minorHAnsi"/>
          <w:bCs/>
        </w:rPr>
        <w:t>professional</w:t>
      </w:r>
      <w:r w:rsidRPr="00AC4884">
        <w:rPr>
          <w:rFonts w:asciiTheme="minorHAnsi" w:hAnsiTheme="minorHAnsi" w:cstheme="minorHAnsi"/>
          <w:bCs/>
          <w:spacing w:val="-4"/>
        </w:rPr>
        <w:t xml:space="preserve"> </w:t>
      </w:r>
      <w:r w:rsidRPr="00AC4884">
        <w:rPr>
          <w:rFonts w:asciiTheme="minorHAnsi" w:hAnsiTheme="minorHAnsi" w:cstheme="minorHAnsi"/>
          <w:bCs/>
        </w:rPr>
        <w:t>growth.</w:t>
      </w:r>
    </w:p>
    <w:p w14:paraId="717A7F4C" w14:textId="77777777" w:rsidR="00C319D1" w:rsidRPr="00AC4884" w:rsidRDefault="007846CB">
      <w:pPr>
        <w:pStyle w:val="BodyText"/>
        <w:spacing w:before="2"/>
        <w:ind w:left="100"/>
        <w:rPr>
          <w:rFonts w:asciiTheme="minorHAnsi" w:hAnsiTheme="minorHAnsi" w:cstheme="minorHAnsi"/>
          <w:bCs/>
        </w:rPr>
      </w:pPr>
      <w:r w:rsidRPr="00AC4884">
        <w:rPr>
          <w:rFonts w:asciiTheme="minorHAnsi" w:hAnsiTheme="minorHAnsi" w:cstheme="minorHAnsi"/>
          <w:bCs/>
        </w:rPr>
        <w:t xml:space="preserve">For more information about UWT, visit </w:t>
      </w:r>
      <w:hyperlink r:id="rId5">
        <w:r w:rsidRPr="00AC4884">
          <w:rPr>
            <w:rFonts w:asciiTheme="minorHAnsi" w:hAnsiTheme="minorHAnsi" w:cstheme="minorHAnsi"/>
            <w:bCs/>
            <w:color w:val="0563C1"/>
            <w:u w:val="single" w:color="0563C1"/>
          </w:rPr>
          <w:t>www.tacoma.uw.edu</w:t>
        </w:r>
        <w:r w:rsidRPr="00AC4884">
          <w:rPr>
            <w:rFonts w:asciiTheme="minorHAnsi" w:hAnsiTheme="minorHAnsi" w:cstheme="minorHAnsi"/>
            <w:bCs/>
          </w:rPr>
          <w:t>.</w:t>
        </w:r>
      </w:hyperlink>
    </w:p>
    <w:p w14:paraId="03728850" w14:textId="77777777" w:rsidR="00C319D1" w:rsidRPr="00AC4884" w:rsidRDefault="007846CB">
      <w:pPr>
        <w:spacing w:before="178"/>
        <w:ind w:left="100"/>
        <w:rPr>
          <w:rFonts w:asciiTheme="minorHAnsi" w:hAnsiTheme="minorHAnsi" w:cstheme="minorHAnsi"/>
          <w:bCs/>
        </w:rPr>
      </w:pPr>
      <w:r w:rsidRPr="00AC4884">
        <w:rPr>
          <w:rFonts w:asciiTheme="minorHAnsi" w:hAnsiTheme="minorHAnsi" w:cstheme="minorHAnsi"/>
          <w:bCs/>
          <w:color w:val="333333"/>
        </w:rPr>
        <w:t>School Background</w:t>
      </w:r>
    </w:p>
    <w:p w14:paraId="5BE428B9" w14:textId="77777777" w:rsidR="00C319D1" w:rsidRPr="00AC4884" w:rsidRDefault="007846CB">
      <w:pPr>
        <w:pStyle w:val="BodyText"/>
        <w:spacing w:before="183"/>
        <w:ind w:left="100" w:right="255"/>
        <w:rPr>
          <w:rFonts w:asciiTheme="minorHAnsi" w:hAnsiTheme="minorHAnsi" w:cstheme="minorHAnsi"/>
          <w:bCs/>
        </w:rPr>
      </w:pPr>
      <w:r w:rsidRPr="00AC4884">
        <w:rPr>
          <w:rFonts w:asciiTheme="minorHAnsi" w:hAnsiTheme="minorHAnsi" w:cstheme="minorHAnsi"/>
          <w:bCs/>
          <w:color w:val="333333"/>
        </w:rPr>
        <w:t>The School of Social Work and Criminal Justice affirms the tradition of promoting social, economic, and racial justice. Our mission is to advance social justice through transformative education and practice, innovative research, and meaningful community engagement as we prepare dynamic and diverse leaders to build a more just and equitable society. We aim to enhance the quality of life for all, with special attention to human diversities, populations at risk, public social services, and the prevention of social problems. As a community of diverse scholars, we advance the social work and criminal justice</w:t>
      </w:r>
    </w:p>
    <w:p w14:paraId="5AFB1BDE" w14:textId="77777777" w:rsidR="00C319D1" w:rsidRPr="00AC4884" w:rsidRDefault="00C319D1">
      <w:pPr>
        <w:rPr>
          <w:rFonts w:asciiTheme="minorHAnsi" w:hAnsiTheme="minorHAnsi" w:cstheme="minorHAnsi"/>
          <w:bCs/>
        </w:rPr>
        <w:sectPr w:rsidR="00C319D1" w:rsidRPr="00AC4884">
          <w:type w:val="continuous"/>
          <w:pgSz w:w="12240" w:h="15840"/>
          <w:pgMar w:top="1360" w:right="1340" w:bottom="280" w:left="1340" w:header="720" w:footer="720" w:gutter="0"/>
          <w:cols w:space="720"/>
        </w:sectPr>
      </w:pPr>
    </w:p>
    <w:p w14:paraId="6E690B9B" w14:textId="77777777" w:rsidR="00C319D1" w:rsidRPr="00AC4884" w:rsidRDefault="007846CB">
      <w:pPr>
        <w:pStyle w:val="BodyText"/>
        <w:spacing w:before="81"/>
        <w:ind w:left="100" w:right="168"/>
        <w:rPr>
          <w:rFonts w:asciiTheme="minorHAnsi" w:hAnsiTheme="minorHAnsi" w:cstheme="minorHAnsi"/>
          <w:bCs/>
        </w:rPr>
      </w:pPr>
      <w:r w:rsidRPr="00AC4884">
        <w:rPr>
          <w:rFonts w:asciiTheme="minorHAnsi" w:hAnsiTheme="minorHAnsi" w:cstheme="minorHAnsi"/>
          <w:bCs/>
          <w:color w:val="333333"/>
        </w:rPr>
        <w:lastRenderedPageBreak/>
        <w:t>professions through our preparation of graduates for ethical, culturally responsive, and evidence-based, anti-racist practices and scholarship that advances the knowledge base of both professions. The faculty at UW Tacoma value relationships with students and each other. We are committed to fostering the success of our students and faculty, upholding excellence in teaching in the classroom and online, and serving the greater Tacoma community through publicly engaged scholarship.</w:t>
      </w:r>
    </w:p>
    <w:p w14:paraId="4EEF3218" w14:textId="7B19FED3" w:rsidR="00C319D1" w:rsidRPr="00AC4884" w:rsidRDefault="007846CB">
      <w:pPr>
        <w:pStyle w:val="BodyText"/>
        <w:spacing w:before="160"/>
        <w:ind w:left="100" w:right="158"/>
        <w:rPr>
          <w:rFonts w:asciiTheme="minorHAnsi" w:hAnsiTheme="minorHAnsi" w:cstheme="minorHAnsi"/>
          <w:bCs/>
        </w:rPr>
      </w:pPr>
      <w:r w:rsidRPr="00AC4884">
        <w:rPr>
          <w:rFonts w:asciiTheme="minorHAnsi" w:hAnsiTheme="minorHAnsi" w:cstheme="minorHAnsi"/>
          <w:bCs/>
          <w:color w:val="333333"/>
        </w:rPr>
        <w:t>The School of Social Work and Criminal Justice (SSWCJ) offers three degrees. The Bachelor of Arts in Social Welfare (BASW) degree prepares students to acquire competence in ethical, culturally responsive social work practice. Our BASW degree centers equity and a commitment to effective advocacy and empowerment of historically marginalized, economically disadvantaged, and underserved populations. The BASW program has an enrollment of approximately 80 – 90 students. The Master in Social Work (MSW) degree recognizes the importance of synergy between knowledge acquisition and action to develop student competencies in preparation for advanced practice. Our MSW curriculum provides generative and tailored learning for students to develop deep expertise in their interests and passions. Students assume advocacy and leadership opportunities in an array of cross-disciplinary public and private sectors and may choose specialized learning in pursuit of school social work, behavioral health, and child welfare careers. The MSW program has 1</w:t>
      </w:r>
      <w:r w:rsidR="00D44CF5" w:rsidRPr="00AC4884">
        <w:rPr>
          <w:rFonts w:asciiTheme="minorHAnsi" w:hAnsiTheme="minorHAnsi" w:cstheme="minorHAnsi"/>
          <w:bCs/>
          <w:color w:val="333333"/>
        </w:rPr>
        <w:t>0</w:t>
      </w:r>
      <w:r w:rsidRPr="00AC4884">
        <w:rPr>
          <w:rFonts w:asciiTheme="minorHAnsi" w:hAnsiTheme="minorHAnsi" w:cstheme="minorHAnsi"/>
          <w:bCs/>
          <w:color w:val="333333"/>
        </w:rPr>
        <w:t>0 – 1</w:t>
      </w:r>
      <w:r w:rsidR="00D44CF5" w:rsidRPr="00AC4884">
        <w:rPr>
          <w:rFonts w:asciiTheme="minorHAnsi" w:hAnsiTheme="minorHAnsi" w:cstheme="minorHAnsi"/>
          <w:bCs/>
          <w:color w:val="333333"/>
        </w:rPr>
        <w:t>20</w:t>
      </w:r>
      <w:r w:rsidRPr="00AC4884">
        <w:rPr>
          <w:rFonts w:asciiTheme="minorHAnsi" w:hAnsiTheme="minorHAnsi" w:cstheme="minorHAnsi"/>
          <w:bCs/>
          <w:color w:val="333333"/>
        </w:rPr>
        <w:t xml:space="preserve"> part-time evening students, inclusive of approximately 30 part-time Advanced Standing students. The campus and online Bachelor of Arts in Criminal Justice (BACJ) degree prepares students to engage with systems through a theoretical understanding using ecological systems and evaluative approaches to crime and justice. Our unique multidisciplinary Criminal Justice curriculum adopts a social justice lens that prioritizes diversity in populations and thought, progressive approaches to crime and justice, and differential impacts of crime on individuals and communities across social identities and locations. The BACJ average enrollment is </w:t>
      </w:r>
      <w:r w:rsidR="00D44CF5" w:rsidRPr="00AC4884">
        <w:rPr>
          <w:rFonts w:asciiTheme="minorHAnsi" w:hAnsiTheme="minorHAnsi" w:cstheme="minorHAnsi"/>
          <w:bCs/>
          <w:color w:val="333333"/>
        </w:rPr>
        <w:t>9</w:t>
      </w:r>
      <w:r w:rsidRPr="00AC4884">
        <w:rPr>
          <w:rFonts w:asciiTheme="minorHAnsi" w:hAnsiTheme="minorHAnsi" w:cstheme="minorHAnsi"/>
          <w:bCs/>
          <w:color w:val="333333"/>
        </w:rPr>
        <w:t>0 – 1</w:t>
      </w:r>
      <w:r w:rsidR="00D44CF5" w:rsidRPr="00AC4884">
        <w:rPr>
          <w:rFonts w:asciiTheme="minorHAnsi" w:hAnsiTheme="minorHAnsi" w:cstheme="minorHAnsi"/>
          <w:bCs/>
          <w:color w:val="333333"/>
        </w:rPr>
        <w:t>10</w:t>
      </w:r>
      <w:r w:rsidRPr="00AC4884">
        <w:rPr>
          <w:rFonts w:asciiTheme="minorHAnsi" w:hAnsiTheme="minorHAnsi" w:cstheme="minorHAnsi"/>
          <w:bCs/>
          <w:color w:val="333333"/>
        </w:rPr>
        <w:t xml:space="preserve"> students.</w:t>
      </w:r>
    </w:p>
    <w:p w14:paraId="49619511" w14:textId="77777777" w:rsidR="00C319D1" w:rsidRPr="00AC4884" w:rsidRDefault="00C319D1">
      <w:pPr>
        <w:pStyle w:val="BodyText"/>
        <w:ind w:left="0"/>
        <w:rPr>
          <w:rFonts w:asciiTheme="minorHAnsi" w:hAnsiTheme="minorHAnsi" w:cstheme="minorHAnsi"/>
          <w:bCs/>
        </w:rPr>
      </w:pPr>
    </w:p>
    <w:p w14:paraId="3FA0788E"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Responsibilities</w:t>
      </w:r>
    </w:p>
    <w:p w14:paraId="3C2C2155" w14:textId="53BB5D58" w:rsidR="00AB1465" w:rsidRPr="00AC4884" w:rsidRDefault="007846CB" w:rsidP="000F0947">
      <w:pPr>
        <w:pStyle w:val="BodyText"/>
        <w:spacing w:before="159"/>
        <w:ind w:left="100" w:right="124"/>
        <w:rPr>
          <w:rFonts w:asciiTheme="minorHAnsi" w:hAnsiTheme="minorHAnsi" w:cstheme="minorHAnsi"/>
          <w:bCs/>
        </w:rPr>
      </w:pPr>
      <w:r w:rsidRPr="00AC4884">
        <w:rPr>
          <w:rFonts w:asciiTheme="minorHAnsi" w:hAnsiTheme="minorHAnsi" w:cstheme="minorHAnsi"/>
          <w:bCs/>
        </w:rPr>
        <w:t xml:space="preserve">All faculty at the University of Washington engage in teaching, scholarship, and service within their school, the University, and their professional communities. The UWT and SSWCJ are committed to hiring and supporting faculty who will enhance diversity, inclusion, and equal opportunity in higher education through their teaching, scholarship, and service activities. Faculty at UWT are expected to teach in multiple modalities, including in-person, online, and hybrid courses. Faculty are expected to successfully mentor undergraduate and graduate students in an academic setting and will need to demonstrate an ability to mentor students with diverse experiences and backgrounds. In addition to independent scholarly research, the successful candidate will have opportunities to collaborate on innovative community-engaged, multi-disciplinary, and/or interdisciplinary scholarly research activities. School, campus, institutional, professional, and community-engaged service is expected. For more information about community partnership opportunities, </w:t>
      </w:r>
      <w:r w:rsidRPr="00AB1465">
        <w:rPr>
          <w:rFonts w:asciiTheme="minorHAnsi" w:hAnsiTheme="minorHAnsi" w:cstheme="minorHAnsi"/>
          <w:bCs/>
          <w:sz w:val="24"/>
          <w:szCs w:val="24"/>
        </w:rPr>
        <w:t xml:space="preserve">visit </w:t>
      </w:r>
      <w:hyperlink r:id="rId6" w:history="1">
        <w:r w:rsidR="00AB1465" w:rsidRPr="00AB1465">
          <w:rPr>
            <w:rStyle w:val="Hyperlink"/>
            <w:rFonts w:asciiTheme="minorHAnsi" w:hAnsiTheme="minorHAnsi" w:cstheme="minorHAnsi"/>
            <w:bCs/>
          </w:rPr>
          <w:t>https://www.tacoma.uw.edu/community-partnerships</w:t>
        </w:r>
      </w:hyperlink>
      <w:r w:rsidR="00AB1465" w:rsidRPr="00AB1465">
        <w:rPr>
          <w:rFonts w:asciiTheme="minorHAnsi" w:hAnsiTheme="minorHAnsi" w:cstheme="minorHAnsi"/>
          <w:bCs/>
        </w:rPr>
        <w:t>.</w:t>
      </w:r>
    </w:p>
    <w:p w14:paraId="7B72AE1D" w14:textId="77777777" w:rsidR="00C319D1" w:rsidRPr="00AC4884" w:rsidRDefault="007846CB">
      <w:pPr>
        <w:pStyle w:val="BodyText"/>
        <w:spacing w:before="161"/>
        <w:ind w:left="100"/>
        <w:rPr>
          <w:rFonts w:asciiTheme="minorHAnsi" w:hAnsiTheme="minorHAnsi" w:cstheme="minorHAnsi"/>
          <w:bCs/>
        </w:rPr>
      </w:pPr>
      <w:r w:rsidRPr="00AC4884">
        <w:rPr>
          <w:rFonts w:asciiTheme="minorHAnsi" w:hAnsiTheme="minorHAnsi" w:cstheme="minorHAnsi"/>
          <w:bCs/>
        </w:rPr>
        <w:t>Positive factors for consideration include, but are not limited to:</w:t>
      </w:r>
    </w:p>
    <w:p w14:paraId="798E878B" w14:textId="77777777" w:rsidR="00C319D1" w:rsidRPr="00AC4884" w:rsidRDefault="007846CB">
      <w:pPr>
        <w:pStyle w:val="ListParagraph"/>
        <w:numPr>
          <w:ilvl w:val="0"/>
          <w:numId w:val="2"/>
        </w:numPr>
        <w:tabs>
          <w:tab w:val="left" w:pos="819"/>
          <w:tab w:val="left" w:pos="820"/>
        </w:tabs>
        <w:spacing w:before="157" w:line="244" w:lineRule="auto"/>
        <w:ind w:right="984"/>
        <w:rPr>
          <w:rFonts w:asciiTheme="minorHAnsi" w:hAnsiTheme="minorHAnsi" w:cstheme="minorHAnsi"/>
          <w:bCs/>
        </w:rPr>
      </w:pPr>
      <w:r w:rsidRPr="00AC4884">
        <w:rPr>
          <w:rFonts w:asciiTheme="minorHAnsi" w:hAnsiTheme="minorHAnsi" w:cstheme="minorHAnsi"/>
          <w:bCs/>
        </w:rPr>
        <w:t>Instructional</w:t>
      </w:r>
      <w:r w:rsidRPr="00AC4884">
        <w:rPr>
          <w:rFonts w:asciiTheme="minorHAnsi" w:hAnsiTheme="minorHAnsi" w:cstheme="minorHAnsi"/>
          <w:bCs/>
          <w:spacing w:val="-5"/>
        </w:rPr>
        <w:t xml:space="preserve"> </w:t>
      </w:r>
      <w:r w:rsidRPr="00AC4884">
        <w:rPr>
          <w:rFonts w:asciiTheme="minorHAnsi" w:hAnsiTheme="minorHAnsi" w:cstheme="minorHAnsi"/>
          <w:bCs/>
        </w:rPr>
        <w:t>experience</w:t>
      </w:r>
      <w:r w:rsidRPr="00AC4884">
        <w:rPr>
          <w:rFonts w:asciiTheme="minorHAnsi" w:hAnsiTheme="minorHAnsi" w:cstheme="minorHAnsi"/>
          <w:bCs/>
          <w:spacing w:val="-5"/>
        </w:rPr>
        <w:t xml:space="preserve"> </w:t>
      </w:r>
      <w:r w:rsidRPr="00AC4884">
        <w:rPr>
          <w:rFonts w:asciiTheme="minorHAnsi" w:hAnsiTheme="minorHAnsi" w:cstheme="minorHAnsi"/>
          <w:bCs/>
        </w:rPr>
        <w:t>in</w:t>
      </w:r>
      <w:r w:rsidRPr="00AC4884">
        <w:rPr>
          <w:rFonts w:asciiTheme="minorHAnsi" w:hAnsiTheme="minorHAnsi" w:cstheme="minorHAnsi"/>
          <w:bCs/>
          <w:spacing w:val="-5"/>
        </w:rPr>
        <w:t xml:space="preserve"> </w:t>
      </w:r>
      <w:r w:rsidRPr="00AC4884">
        <w:rPr>
          <w:rFonts w:asciiTheme="minorHAnsi" w:hAnsiTheme="minorHAnsi" w:cstheme="minorHAnsi"/>
          <w:bCs/>
        </w:rPr>
        <w:t>undergraduate</w:t>
      </w:r>
      <w:r w:rsidRPr="00AC4884">
        <w:rPr>
          <w:rFonts w:asciiTheme="minorHAnsi" w:hAnsiTheme="minorHAnsi" w:cstheme="minorHAnsi"/>
          <w:bCs/>
          <w:spacing w:val="-5"/>
        </w:rPr>
        <w:t xml:space="preserve"> </w:t>
      </w:r>
      <w:r w:rsidRPr="00AC4884">
        <w:rPr>
          <w:rFonts w:asciiTheme="minorHAnsi" w:hAnsiTheme="minorHAnsi" w:cstheme="minorHAnsi"/>
          <w:bCs/>
        </w:rPr>
        <w:t>and</w:t>
      </w:r>
      <w:r w:rsidRPr="00AC4884">
        <w:rPr>
          <w:rFonts w:asciiTheme="minorHAnsi" w:hAnsiTheme="minorHAnsi" w:cstheme="minorHAnsi"/>
          <w:bCs/>
          <w:spacing w:val="-5"/>
        </w:rPr>
        <w:t xml:space="preserve"> </w:t>
      </w:r>
      <w:r w:rsidRPr="00AC4884">
        <w:rPr>
          <w:rFonts w:asciiTheme="minorHAnsi" w:hAnsiTheme="minorHAnsi" w:cstheme="minorHAnsi"/>
          <w:bCs/>
        </w:rPr>
        <w:t>graduate</w:t>
      </w:r>
      <w:r w:rsidRPr="00AC4884">
        <w:rPr>
          <w:rFonts w:asciiTheme="minorHAnsi" w:hAnsiTheme="minorHAnsi" w:cstheme="minorHAnsi"/>
          <w:bCs/>
          <w:spacing w:val="-5"/>
        </w:rPr>
        <w:t xml:space="preserve"> </w:t>
      </w:r>
      <w:r w:rsidRPr="00AC4884">
        <w:rPr>
          <w:rFonts w:asciiTheme="minorHAnsi" w:hAnsiTheme="minorHAnsi" w:cstheme="minorHAnsi"/>
          <w:bCs/>
        </w:rPr>
        <w:t>social</w:t>
      </w:r>
      <w:r w:rsidRPr="00AC4884">
        <w:rPr>
          <w:rFonts w:asciiTheme="minorHAnsi" w:hAnsiTheme="minorHAnsi" w:cstheme="minorHAnsi"/>
          <w:bCs/>
          <w:spacing w:val="-4"/>
        </w:rPr>
        <w:t xml:space="preserve"> </w:t>
      </w:r>
      <w:r w:rsidRPr="00AC4884">
        <w:rPr>
          <w:rFonts w:asciiTheme="minorHAnsi" w:hAnsiTheme="minorHAnsi" w:cstheme="minorHAnsi"/>
          <w:bCs/>
        </w:rPr>
        <w:t>work</w:t>
      </w:r>
      <w:r w:rsidRPr="00AC4884">
        <w:rPr>
          <w:rFonts w:asciiTheme="minorHAnsi" w:hAnsiTheme="minorHAnsi" w:cstheme="minorHAnsi"/>
          <w:bCs/>
          <w:spacing w:val="-5"/>
        </w:rPr>
        <w:t xml:space="preserve"> </w:t>
      </w:r>
      <w:r w:rsidRPr="00AC4884">
        <w:rPr>
          <w:rFonts w:asciiTheme="minorHAnsi" w:hAnsiTheme="minorHAnsi" w:cstheme="minorHAnsi"/>
          <w:bCs/>
        </w:rPr>
        <w:t>generalist</w:t>
      </w:r>
      <w:r w:rsidRPr="00AC4884">
        <w:rPr>
          <w:rFonts w:asciiTheme="minorHAnsi" w:hAnsiTheme="minorHAnsi" w:cstheme="minorHAnsi"/>
          <w:bCs/>
          <w:spacing w:val="-5"/>
        </w:rPr>
        <w:t xml:space="preserve"> </w:t>
      </w:r>
      <w:r w:rsidRPr="00AC4884">
        <w:rPr>
          <w:rFonts w:asciiTheme="minorHAnsi" w:hAnsiTheme="minorHAnsi" w:cstheme="minorHAnsi"/>
          <w:bCs/>
        </w:rPr>
        <w:t>practice education.</w:t>
      </w:r>
    </w:p>
    <w:p w14:paraId="6BF2C6D2" w14:textId="77777777" w:rsidR="00C319D1" w:rsidRPr="00AC4884" w:rsidRDefault="007846CB">
      <w:pPr>
        <w:pStyle w:val="ListParagraph"/>
        <w:numPr>
          <w:ilvl w:val="0"/>
          <w:numId w:val="2"/>
        </w:numPr>
        <w:tabs>
          <w:tab w:val="left" w:pos="819"/>
          <w:tab w:val="left" w:pos="820"/>
        </w:tabs>
        <w:spacing w:line="272" w:lineRule="exact"/>
        <w:rPr>
          <w:rFonts w:asciiTheme="minorHAnsi" w:hAnsiTheme="minorHAnsi" w:cstheme="minorHAnsi"/>
          <w:bCs/>
        </w:rPr>
      </w:pPr>
      <w:r w:rsidRPr="00AC4884">
        <w:rPr>
          <w:rFonts w:asciiTheme="minorHAnsi" w:hAnsiTheme="minorHAnsi" w:cstheme="minorHAnsi"/>
          <w:bCs/>
        </w:rPr>
        <w:t>Instructional expertise in clinical practice, generalist practice, policy, and/or research</w:t>
      </w:r>
      <w:r w:rsidRPr="00AC4884">
        <w:rPr>
          <w:rFonts w:asciiTheme="minorHAnsi" w:hAnsiTheme="minorHAnsi" w:cstheme="minorHAnsi"/>
          <w:bCs/>
          <w:spacing w:val="-35"/>
        </w:rPr>
        <w:t xml:space="preserve"> </w:t>
      </w:r>
      <w:r w:rsidRPr="00AC4884">
        <w:rPr>
          <w:rFonts w:asciiTheme="minorHAnsi" w:hAnsiTheme="minorHAnsi" w:cstheme="minorHAnsi"/>
          <w:bCs/>
        </w:rPr>
        <w:t>courses.</w:t>
      </w:r>
    </w:p>
    <w:p w14:paraId="5BC252B5" w14:textId="77777777" w:rsidR="00C319D1" w:rsidRPr="00AC4884" w:rsidRDefault="007846CB">
      <w:pPr>
        <w:pStyle w:val="ListParagraph"/>
        <w:numPr>
          <w:ilvl w:val="0"/>
          <w:numId w:val="2"/>
        </w:numPr>
        <w:tabs>
          <w:tab w:val="left" w:pos="819"/>
          <w:tab w:val="left" w:pos="820"/>
        </w:tabs>
        <w:spacing w:line="278" w:lineRule="exact"/>
        <w:rPr>
          <w:rFonts w:asciiTheme="minorHAnsi" w:hAnsiTheme="minorHAnsi" w:cstheme="minorHAnsi"/>
          <w:bCs/>
        </w:rPr>
      </w:pPr>
      <w:r w:rsidRPr="00AC4884">
        <w:rPr>
          <w:rFonts w:asciiTheme="minorHAnsi" w:hAnsiTheme="minorHAnsi" w:cstheme="minorHAnsi"/>
          <w:bCs/>
        </w:rPr>
        <w:t>Experience working with a diverse student</w:t>
      </w:r>
      <w:r w:rsidRPr="00AC4884">
        <w:rPr>
          <w:rFonts w:asciiTheme="minorHAnsi" w:hAnsiTheme="minorHAnsi" w:cstheme="minorHAnsi"/>
          <w:bCs/>
          <w:spacing w:val="-8"/>
        </w:rPr>
        <w:t xml:space="preserve"> </w:t>
      </w:r>
      <w:r w:rsidRPr="00AC4884">
        <w:rPr>
          <w:rFonts w:asciiTheme="minorHAnsi" w:hAnsiTheme="minorHAnsi" w:cstheme="minorHAnsi"/>
          <w:bCs/>
        </w:rPr>
        <w:t>body.</w:t>
      </w:r>
    </w:p>
    <w:p w14:paraId="48EBE3A9" w14:textId="77777777" w:rsidR="00C319D1" w:rsidRPr="00AC4884" w:rsidRDefault="007846CB">
      <w:pPr>
        <w:pStyle w:val="ListParagraph"/>
        <w:numPr>
          <w:ilvl w:val="0"/>
          <w:numId w:val="2"/>
        </w:numPr>
        <w:tabs>
          <w:tab w:val="left" w:pos="819"/>
          <w:tab w:val="left" w:pos="820"/>
        </w:tabs>
        <w:spacing w:line="279" w:lineRule="exact"/>
        <w:rPr>
          <w:rFonts w:asciiTheme="minorHAnsi" w:hAnsiTheme="minorHAnsi" w:cstheme="minorHAnsi"/>
          <w:bCs/>
        </w:rPr>
      </w:pPr>
      <w:r w:rsidRPr="00AC4884">
        <w:rPr>
          <w:rFonts w:asciiTheme="minorHAnsi" w:hAnsiTheme="minorHAnsi" w:cstheme="minorHAnsi"/>
          <w:bCs/>
        </w:rPr>
        <w:t>Demonstrated experience in multiple modalities, including in-person and hybrid or</w:t>
      </w:r>
      <w:r w:rsidRPr="00AC4884">
        <w:rPr>
          <w:rFonts w:asciiTheme="minorHAnsi" w:hAnsiTheme="minorHAnsi" w:cstheme="minorHAnsi"/>
          <w:bCs/>
          <w:spacing w:val="-27"/>
        </w:rPr>
        <w:t xml:space="preserve"> </w:t>
      </w:r>
      <w:r w:rsidRPr="00AC4884">
        <w:rPr>
          <w:rFonts w:asciiTheme="minorHAnsi" w:hAnsiTheme="minorHAnsi" w:cstheme="minorHAnsi"/>
          <w:bCs/>
        </w:rPr>
        <w:t>online.</w:t>
      </w:r>
    </w:p>
    <w:p w14:paraId="1C89B88B" w14:textId="77777777" w:rsidR="00C319D1" w:rsidRPr="00AC4884" w:rsidRDefault="007846CB">
      <w:pPr>
        <w:pStyle w:val="ListParagraph"/>
        <w:numPr>
          <w:ilvl w:val="0"/>
          <w:numId w:val="2"/>
        </w:numPr>
        <w:tabs>
          <w:tab w:val="left" w:pos="819"/>
          <w:tab w:val="left" w:pos="820"/>
        </w:tabs>
        <w:spacing w:before="3"/>
        <w:ind w:right="481"/>
        <w:rPr>
          <w:rFonts w:asciiTheme="minorHAnsi" w:hAnsiTheme="minorHAnsi" w:cstheme="minorHAnsi"/>
          <w:bCs/>
        </w:rPr>
      </w:pPr>
      <w:r w:rsidRPr="00AC4884">
        <w:rPr>
          <w:rFonts w:asciiTheme="minorHAnsi" w:hAnsiTheme="minorHAnsi" w:cstheme="minorHAnsi"/>
          <w:bCs/>
        </w:rPr>
        <w:t>Active</w:t>
      </w:r>
      <w:r w:rsidRPr="00AC4884">
        <w:rPr>
          <w:rFonts w:asciiTheme="minorHAnsi" w:hAnsiTheme="minorHAnsi" w:cstheme="minorHAnsi"/>
          <w:bCs/>
          <w:spacing w:val="-5"/>
        </w:rPr>
        <w:t xml:space="preserve"> </w:t>
      </w:r>
      <w:r w:rsidRPr="00AC4884">
        <w:rPr>
          <w:rFonts w:asciiTheme="minorHAnsi" w:hAnsiTheme="minorHAnsi" w:cstheme="minorHAnsi"/>
          <w:bCs/>
        </w:rPr>
        <w:t>and</w:t>
      </w:r>
      <w:r w:rsidRPr="00AC4884">
        <w:rPr>
          <w:rFonts w:asciiTheme="minorHAnsi" w:hAnsiTheme="minorHAnsi" w:cstheme="minorHAnsi"/>
          <w:bCs/>
          <w:spacing w:val="-5"/>
        </w:rPr>
        <w:t xml:space="preserve"> </w:t>
      </w:r>
      <w:r w:rsidRPr="00AC4884">
        <w:rPr>
          <w:rFonts w:asciiTheme="minorHAnsi" w:hAnsiTheme="minorHAnsi" w:cstheme="minorHAnsi"/>
          <w:bCs/>
        </w:rPr>
        <w:t>robust</w:t>
      </w:r>
      <w:r w:rsidRPr="00AC4884">
        <w:rPr>
          <w:rFonts w:asciiTheme="minorHAnsi" w:hAnsiTheme="minorHAnsi" w:cstheme="minorHAnsi"/>
          <w:bCs/>
          <w:spacing w:val="-5"/>
        </w:rPr>
        <w:t xml:space="preserve"> </w:t>
      </w:r>
      <w:r w:rsidRPr="00AC4884">
        <w:rPr>
          <w:rFonts w:asciiTheme="minorHAnsi" w:hAnsiTheme="minorHAnsi" w:cstheme="minorHAnsi"/>
          <w:bCs/>
        </w:rPr>
        <w:t>scholarship</w:t>
      </w:r>
      <w:r w:rsidRPr="00AC4884">
        <w:rPr>
          <w:rFonts w:asciiTheme="minorHAnsi" w:hAnsiTheme="minorHAnsi" w:cstheme="minorHAnsi"/>
          <w:bCs/>
          <w:spacing w:val="-5"/>
        </w:rPr>
        <w:t xml:space="preserve"> </w:t>
      </w:r>
      <w:r w:rsidRPr="00AC4884">
        <w:rPr>
          <w:rFonts w:asciiTheme="minorHAnsi" w:hAnsiTheme="minorHAnsi" w:cstheme="minorHAnsi"/>
          <w:bCs/>
        </w:rPr>
        <w:t>that</w:t>
      </w:r>
      <w:r w:rsidRPr="00AC4884">
        <w:rPr>
          <w:rFonts w:asciiTheme="minorHAnsi" w:hAnsiTheme="minorHAnsi" w:cstheme="minorHAnsi"/>
          <w:bCs/>
          <w:spacing w:val="-4"/>
        </w:rPr>
        <w:t xml:space="preserve"> </w:t>
      </w:r>
      <w:r w:rsidRPr="00AC4884">
        <w:rPr>
          <w:rFonts w:asciiTheme="minorHAnsi" w:hAnsiTheme="minorHAnsi" w:cstheme="minorHAnsi"/>
          <w:bCs/>
        </w:rPr>
        <w:t>emphasizes</w:t>
      </w:r>
      <w:r w:rsidRPr="00AC4884">
        <w:rPr>
          <w:rFonts w:asciiTheme="minorHAnsi" w:hAnsiTheme="minorHAnsi" w:cstheme="minorHAnsi"/>
          <w:bCs/>
          <w:spacing w:val="-5"/>
        </w:rPr>
        <w:t xml:space="preserve"> </w:t>
      </w:r>
      <w:r w:rsidRPr="00AC4884">
        <w:rPr>
          <w:rFonts w:asciiTheme="minorHAnsi" w:hAnsiTheme="minorHAnsi" w:cstheme="minorHAnsi"/>
          <w:bCs/>
        </w:rPr>
        <w:t>social</w:t>
      </w:r>
      <w:r w:rsidRPr="00AC4884">
        <w:rPr>
          <w:rFonts w:asciiTheme="minorHAnsi" w:hAnsiTheme="minorHAnsi" w:cstheme="minorHAnsi"/>
          <w:bCs/>
          <w:spacing w:val="-5"/>
        </w:rPr>
        <w:t xml:space="preserve"> </w:t>
      </w:r>
      <w:r w:rsidRPr="00AC4884">
        <w:rPr>
          <w:rFonts w:asciiTheme="minorHAnsi" w:hAnsiTheme="minorHAnsi" w:cstheme="minorHAnsi"/>
          <w:bCs/>
        </w:rPr>
        <w:t>justice</w:t>
      </w:r>
      <w:r w:rsidRPr="00AC4884">
        <w:rPr>
          <w:rFonts w:asciiTheme="minorHAnsi" w:hAnsiTheme="minorHAnsi" w:cstheme="minorHAnsi"/>
          <w:bCs/>
          <w:spacing w:val="-5"/>
        </w:rPr>
        <w:t xml:space="preserve"> </w:t>
      </w:r>
      <w:r w:rsidRPr="00AC4884">
        <w:rPr>
          <w:rFonts w:asciiTheme="minorHAnsi" w:hAnsiTheme="minorHAnsi" w:cstheme="minorHAnsi"/>
          <w:bCs/>
        </w:rPr>
        <w:t>and</w:t>
      </w:r>
      <w:r w:rsidRPr="00AC4884">
        <w:rPr>
          <w:rFonts w:asciiTheme="minorHAnsi" w:hAnsiTheme="minorHAnsi" w:cstheme="minorHAnsi"/>
          <w:bCs/>
          <w:spacing w:val="-4"/>
        </w:rPr>
        <w:t xml:space="preserve"> </w:t>
      </w:r>
      <w:r w:rsidRPr="00AC4884">
        <w:rPr>
          <w:rFonts w:asciiTheme="minorHAnsi" w:hAnsiTheme="minorHAnsi" w:cstheme="minorHAnsi"/>
          <w:bCs/>
        </w:rPr>
        <w:t>anti-oppressive</w:t>
      </w:r>
      <w:r w:rsidRPr="00AC4884">
        <w:rPr>
          <w:rFonts w:asciiTheme="minorHAnsi" w:hAnsiTheme="minorHAnsi" w:cstheme="minorHAnsi"/>
          <w:bCs/>
          <w:spacing w:val="-5"/>
        </w:rPr>
        <w:t xml:space="preserve"> </w:t>
      </w:r>
      <w:r w:rsidRPr="00AC4884">
        <w:rPr>
          <w:rFonts w:asciiTheme="minorHAnsi" w:hAnsiTheme="minorHAnsi" w:cstheme="minorHAnsi"/>
          <w:bCs/>
        </w:rPr>
        <w:t>frameworks that focuses on diverse individuals, communities, and</w:t>
      </w:r>
      <w:r w:rsidRPr="00AC4884">
        <w:rPr>
          <w:rFonts w:asciiTheme="minorHAnsi" w:hAnsiTheme="minorHAnsi" w:cstheme="minorHAnsi"/>
          <w:bCs/>
          <w:spacing w:val="-11"/>
        </w:rPr>
        <w:t xml:space="preserve"> </w:t>
      </w:r>
      <w:r w:rsidRPr="00AC4884">
        <w:rPr>
          <w:rFonts w:asciiTheme="minorHAnsi" w:hAnsiTheme="minorHAnsi" w:cstheme="minorHAnsi"/>
          <w:bCs/>
        </w:rPr>
        <w:t>populations.</w:t>
      </w:r>
    </w:p>
    <w:p w14:paraId="6A79606B" w14:textId="77777777" w:rsidR="00C319D1" w:rsidRPr="00AC4884" w:rsidRDefault="00C319D1">
      <w:pPr>
        <w:rPr>
          <w:rFonts w:asciiTheme="minorHAnsi" w:hAnsiTheme="minorHAnsi" w:cstheme="minorHAnsi"/>
          <w:bCs/>
        </w:rPr>
        <w:sectPr w:rsidR="00C319D1" w:rsidRPr="00AC4884">
          <w:pgSz w:w="12240" w:h="15840"/>
          <w:pgMar w:top="1360" w:right="1340" w:bottom="280" w:left="1340" w:header="720" w:footer="720" w:gutter="0"/>
          <w:cols w:space="720"/>
        </w:sectPr>
      </w:pPr>
    </w:p>
    <w:p w14:paraId="4D74E45A" w14:textId="77777777" w:rsidR="00C319D1" w:rsidRPr="00AC4884" w:rsidRDefault="007846CB">
      <w:pPr>
        <w:pStyle w:val="ListParagraph"/>
        <w:numPr>
          <w:ilvl w:val="0"/>
          <w:numId w:val="2"/>
        </w:numPr>
        <w:tabs>
          <w:tab w:val="left" w:pos="819"/>
          <w:tab w:val="left" w:pos="820"/>
        </w:tabs>
        <w:spacing w:before="79"/>
        <w:ind w:right="370"/>
        <w:rPr>
          <w:rFonts w:asciiTheme="minorHAnsi" w:hAnsiTheme="minorHAnsi" w:cstheme="minorHAnsi"/>
          <w:bCs/>
        </w:rPr>
      </w:pPr>
      <w:r w:rsidRPr="00AC4884">
        <w:rPr>
          <w:rFonts w:asciiTheme="minorHAnsi" w:hAnsiTheme="minorHAnsi" w:cstheme="minorHAnsi"/>
          <w:bCs/>
        </w:rPr>
        <w:lastRenderedPageBreak/>
        <w:t>Community-engaged research that centers lived experiences of individuals, communities, and populations.</w:t>
      </w:r>
    </w:p>
    <w:p w14:paraId="186937B9" w14:textId="77777777" w:rsidR="00C319D1" w:rsidRPr="00AC4884" w:rsidRDefault="007846CB">
      <w:pPr>
        <w:pStyle w:val="ListParagraph"/>
        <w:numPr>
          <w:ilvl w:val="0"/>
          <w:numId w:val="2"/>
        </w:numPr>
        <w:tabs>
          <w:tab w:val="left" w:pos="819"/>
          <w:tab w:val="left" w:pos="820"/>
        </w:tabs>
        <w:spacing w:line="279" w:lineRule="exact"/>
        <w:rPr>
          <w:rFonts w:asciiTheme="minorHAnsi" w:hAnsiTheme="minorHAnsi" w:cstheme="minorHAnsi"/>
          <w:bCs/>
        </w:rPr>
      </w:pPr>
      <w:r w:rsidRPr="00AC4884">
        <w:rPr>
          <w:rFonts w:asciiTheme="minorHAnsi" w:hAnsiTheme="minorHAnsi" w:cstheme="minorHAnsi"/>
          <w:bCs/>
        </w:rPr>
        <w:t>Commitment to multi-disciplinary and/or interdisciplinary</w:t>
      </w:r>
      <w:r w:rsidRPr="00AC4884">
        <w:rPr>
          <w:rFonts w:asciiTheme="minorHAnsi" w:hAnsiTheme="minorHAnsi" w:cstheme="minorHAnsi"/>
          <w:bCs/>
          <w:spacing w:val="-9"/>
        </w:rPr>
        <w:t xml:space="preserve"> </w:t>
      </w:r>
      <w:r w:rsidRPr="00AC4884">
        <w:rPr>
          <w:rFonts w:asciiTheme="minorHAnsi" w:hAnsiTheme="minorHAnsi" w:cstheme="minorHAnsi"/>
          <w:bCs/>
        </w:rPr>
        <w:t>engagement.</w:t>
      </w:r>
    </w:p>
    <w:p w14:paraId="178B84AF" w14:textId="77777777" w:rsidR="00C319D1" w:rsidRPr="00AC4884" w:rsidRDefault="007846CB">
      <w:pPr>
        <w:pStyle w:val="ListParagraph"/>
        <w:numPr>
          <w:ilvl w:val="0"/>
          <w:numId w:val="2"/>
        </w:numPr>
        <w:tabs>
          <w:tab w:val="left" w:pos="819"/>
          <w:tab w:val="left" w:pos="820"/>
        </w:tabs>
        <w:spacing w:before="3" w:line="279" w:lineRule="exact"/>
        <w:rPr>
          <w:rFonts w:asciiTheme="minorHAnsi" w:hAnsiTheme="minorHAnsi" w:cstheme="minorHAnsi"/>
          <w:bCs/>
        </w:rPr>
      </w:pPr>
      <w:r w:rsidRPr="00AC4884">
        <w:rPr>
          <w:rFonts w:asciiTheme="minorHAnsi" w:hAnsiTheme="minorHAnsi" w:cstheme="minorHAnsi"/>
          <w:bCs/>
        </w:rPr>
        <w:t>Experience working effectively with diverse individuals, communities, and</w:t>
      </w:r>
      <w:r w:rsidRPr="00AC4884">
        <w:rPr>
          <w:rFonts w:asciiTheme="minorHAnsi" w:hAnsiTheme="minorHAnsi" w:cstheme="minorHAnsi"/>
          <w:bCs/>
          <w:spacing w:val="-20"/>
        </w:rPr>
        <w:t xml:space="preserve"> </w:t>
      </w:r>
      <w:r w:rsidRPr="00AC4884">
        <w:rPr>
          <w:rFonts w:asciiTheme="minorHAnsi" w:hAnsiTheme="minorHAnsi" w:cstheme="minorHAnsi"/>
          <w:bCs/>
        </w:rPr>
        <w:t>populations.</w:t>
      </w:r>
    </w:p>
    <w:p w14:paraId="5E6DE432" w14:textId="77777777" w:rsidR="00C319D1" w:rsidRPr="00AC4884" w:rsidRDefault="007846CB">
      <w:pPr>
        <w:pStyle w:val="ListParagraph"/>
        <w:numPr>
          <w:ilvl w:val="0"/>
          <w:numId w:val="2"/>
        </w:numPr>
        <w:tabs>
          <w:tab w:val="left" w:pos="819"/>
          <w:tab w:val="left" w:pos="820"/>
        </w:tabs>
        <w:spacing w:line="279" w:lineRule="exact"/>
        <w:rPr>
          <w:rFonts w:asciiTheme="minorHAnsi" w:hAnsiTheme="minorHAnsi" w:cstheme="minorHAnsi"/>
          <w:bCs/>
        </w:rPr>
      </w:pPr>
      <w:r w:rsidRPr="00AC4884">
        <w:rPr>
          <w:rFonts w:asciiTheme="minorHAnsi" w:hAnsiTheme="minorHAnsi" w:cstheme="minorHAnsi"/>
          <w:bCs/>
        </w:rPr>
        <w:t>Five or more years post MSW micro, mezzo, and/or macro practice</w:t>
      </w:r>
      <w:r w:rsidRPr="00AC4884">
        <w:rPr>
          <w:rFonts w:asciiTheme="minorHAnsi" w:hAnsiTheme="minorHAnsi" w:cstheme="minorHAnsi"/>
          <w:bCs/>
          <w:spacing w:val="-15"/>
        </w:rPr>
        <w:t xml:space="preserve"> </w:t>
      </w:r>
      <w:r w:rsidRPr="00AC4884">
        <w:rPr>
          <w:rFonts w:asciiTheme="minorHAnsi" w:hAnsiTheme="minorHAnsi" w:cstheme="minorHAnsi"/>
          <w:bCs/>
        </w:rPr>
        <w:t>experience.</w:t>
      </w:r>
    </w:p>
    <w:p w14:paraId="38D83BF7" w14:textId="77777777" w:rsidR="00C319D1" w:rsidRPr="00AC4884" w:rsidRDefault="00C319D1">
      <w:pPr>
        <w:pStyle w:val="BodyText"/>
        <w:spacing w:before="1"/>
        <w:ind w:left="0"/>
        <w:rPr>
          <w:rFonts w:asciiTheme="minorHAnsi" w:hAnsiTheme="minorHAnsi" w:cstheme="minorHAnsi"/>
          <w:bCs/>
        </w:rPr>
      </w:pPr>
    </w:p>
    <w:p w14:paraId="5A81387D"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Commitment to Diversity, Equity, and Inclusion</w:t>
      </w:r>
    </w:p>
    <w:p w14:paraId="2A60F15F" w14:textId="77777777" w:rsidR="00C319D1" w:rsidRPr="00AC4884" w:rsidRDefault="007846CB">
      <w:pPr>
        <w:pStyle w:val="BodyText"/>
        <w:spacing w:before="163"/>
        <w:ind w:left="100" w:right="98"/>
        <w:rPr>
          <w:rFonts w:asciiTheme="minorHAnsi" w:hAnsiTheme="minorHAnsi" w:cstheme="minorHAnsi"/>
          <w:bCs/>
        </w:rPr>
      </w:pPr>
      <w:r w:rsidRPr="00AC4884">
        <w:rPr>
          <w:rFonts w:asciiTheme="minorHAnsi" w:hAnsiTheme="minorHAnsi" w:cstheme="minorHAnsi"/>
          <w:bCs/>
        </w:rPr>
        <w:t>The University of Washington Tacoma and the School of Social Work and Criminal Justice are dedicated to hiring and supporting faculty who will enhance diversity, social equity, and inclusion in higher education through their teaching, scholarship, and service. Creative scholarship agendas linking knowledge, community service, and professional practice are supported and encouraged. We encourage applicants from diverse backgrounds and areas of practice to apply.</w:t>
      </w:r>
    </w:p>
    <w:p w14:paraId="64189ACF" w14:textId="77777777" w:rsidR="00C319D1" w:rsidRPr="00AC4884" w:rsidRDefault="00C319D1">
      <w:pPr>
        <w:pStyle w:val="BodyText"/>
        <w:spacing w:before="9"/>
        <w:ind w:left="0"/>
        <w:rPr>
          <w:rFonts w:asciiTheme="minorHAnsi" w:hAnsiTheme="minorHAnsi" w:cstheme="minorHAnsi"/>
          <w:bCs/>
        </w:rPr>
      </w:pPr>
    </w:p>
    <w:p w14:paraId="1EF7D41D"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Qualifications</w:t>
      </w:r>
    </w:p>
    <w:p w14:paraId="24911901" w14:textId="778507DE" w:rsidR="00C319D1" w:rsidRPr="00AC4884" w:rsidRDefault="007846CB">
      <w:pPr>
        <w:pStyle w:val="BodyText"/>
        <w:spacing w:before="164"/>
        <w:ind w:left="100" w:right="354"/>
        <w:rPr>
          <w:rFonts w:asciiTheme="minorHAnsi" w:hAnsiTheme="minorHAnsi" w:cstheme="minorHAnsi"/>
          <w:bCs/>
        </w:rPr>
      </w:pPr>
      <w:r w:rsidRPr="00AC4884">
        <w:rPr>
          <w:rFonts w:asciiTheme="minorHAnsi" w:hAnsiTheme="minorHAnsi" w:cstheme="minorHAnsi"/>
          <w:bCs/>
        </w:rPr>
        <w:t xml:space="preserve">An earned M.S.W. and Ph.D. (or foreign equivalent) in social work or closely related field and demonstrated </w:t>
      </w:r>
      <w:r w:rsidR="00365AE4" w:rsidRPr="00AC4884">
        <w:rPr>
          <w:rFonts w:asciiTheme="minorHAnsi" w:hAnsiTheme="minorHAnsi" w:cstheme="minorHAnsi"/>
          <w:bCs/>
        </w:rPr>
        <w:t xml:space="preserve">excellence </w:t>
      </w:r>
      <w:r w:rsidRPr="00AC4884">
        <w:rPr>
          <w:rFonts w:asciiTheme="minorHAnsi" w:hAnsiTheme="minorHAnsi" w:cstheme="minorHAnsi"/>
          <w:bCs/>
        </w:rPr>
        <w:t>in teaching and research/scholarship in the candidate’s area of expertise</w:t>
      </w:r>
      <w:r w:rsidR="009517AA" w:rsidRPr="00AC4884">
        <w:rPr>
          <w:rFonts w:asciiTheme="minorHAnsi" w:hAnsiTheme="minorHAnsi" w:cstheme="minorHAnsi"/>
          <w:bCs/>
        </w:rPr>
        <w:t>, are required. Additionally, applicants must have undergone an academic review and achieved a rank with tenure at their current or a former institution of higher education to be appointed with tenure at UW Tacoma.</w:t>
      </w:r>
    </w:p>
    <w:p w14:paraId="6D79053D" w14:textId="77777777" w:rsidR="00C319D1" w:rsidRPr="00AC4884" w:rsidRDefault="00C319D1">
      <w:pPr>
        <w:pStyle w:val="BodyText"/>
        <w:ind w:left="0"/>
        <w:rPr>
          <w:rFonts w:asciiTheme="minorHAnsi" w:hAnsiTheme="minorHAnsi" w:cstheme="minorHAnsi"/>
          <w:bCs/>
        </w:rPr>
      </w:pPr>
    </w:p>
    <w:p w14:paraId="56CAF91C"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Compensation</w:t>
      </w:r>
    </w:p>
    <w:p w14:paraId="43C37C11" w14:textId="4BB6D96B" w:rsidR="00C319D1" w:rsidRPr="00AC4884" w:rsidRDefault="007846CB">
      <w:pPr>
        <w:pStyle w:val="BodyText"/>
        <w:spacing w:before="159"/>
        <w:ind w:left="100" w:right="104"/>
        <w:rPr>
          <w:rFonts w:asciiTheme="minorHAnsi" w:hAnsiTheme="minorHAnsi" w:cstheme="minorHAnsi"/>
          <w:bCs/>
        </w:rPr>
      </w:pPr>
      <w:r w:rsidRPr="00AC4884">
        <w:rPr>
          <w:rFonts w:asciiTheme="minorHAnsi" w:hAnsiTheme="minorHAnsi" w:cstheme="minorHAnsi"/>
          <w:bCs/>
        </w:rPr>
        <w:t xml:space="preserve">The base salary range for this position is $10,444 to $12,278 per month ($94,000 to $110,502 per 9- month academic year). Salary is commensurate with rank, experience and qualifications, or as mandated by a U.S. Department of Labor prevailing wage determination. Other compensation associated with this position may include a one-time relocation allowance, if applicable, and professional/research funds. A summary of benefits associate with this title/rank can be found at </w:t>
      </w:r>
      <w:r w:rsidRPr="00AC4884">
        <w:rPr>
          <w:rFonts w:asciiTheme="minorHAnsi" w:hAnsiTheme="minorHAnsi" w:cstheme="minorHAnsi"/>
          <w:bCs/>
          <w:color w:val="0563C1"/>
          <w:u w:val="single" w:color="0563C1"/>
        </w:rPr>
        <w:t>https://hr.uw.edu/benefits/benefits-</w:t>
      </w:r>
      <w:r w:rsidRPr="00AC4884">
        <w:rPr>
          <w:rFonts w:asciiTheme="minorHAnsi" w:hAnsiTheme="minorHAnsi" w:cstheme="minorHAnsi"/>
          <w:bCs/>
          <w:color w:val="0563C1"/>
        </w:rPr>
        <w:t xml:space="preserve"> </w:t>
      </w:r>
      <w:r w:rsidRPr="00AC4884">
        <w:rPr>
          <w:rFonts w:asciiTheme="minorHAnsi" w:hAnsiTheme="minorHAnsi" w:cstheme="minorHAnsi"/>
          <w:bCs/>
          <w:color w:val="0563C1"/>
          <w:u w:val="single" w:color="0563C1"/>
        </w:rPr>
        <w:t>orientation/benefit-summary-pdfs/</w:t>
      </w:r>
      <w:r w:rsidRPr="00AC4884">
        <w:rPr>
          <w:rFonts w:asciiTheme="minorHAnsi" w:hAnsiTheme="minorHAnsi" w:cstheme="minorHAnsi"/>
          <w:bCs/>
        </w:rPr>
        <w:t>.</w:t>
      </w:r>
    </w:p>
    <w:p w14:paraId="3D7B6A4C" w14:textId="77777777" w:rsidR="00C319D1" w:rsidRPr="00AC4884" w:rsidRDefault="00C319D1">
      <w:pPr>
        <w:pStyle w:val="BodyText"/>
        <w:spacing w:before="9"/>
        <w:ind w:left="0"/>
        <w:rPr>
          <w:rFonts w:asciiTheme="minorHAnsi" w:hAnsiTheme="minorHAnsi" w:cstheme="minorHAnsi"/>
          <w:bCs/>
        </w:rPr>
      </w:pPr>
    </w:p>
    <w:p w14:paraId="42A9C272" w14:textId="77777777" w:rsidR="00C319D1" w:rsidRPr="00AC4884" w:rsidRDefault="007846CB">
      <w:pPr>
        <w:pStyle w:val="Heading1"/>
        <w:rPr>
          <w:rFonts w:asciiTheme="minorHAnsi" w:hAnsiTheme="minorHAnsi" w:cstheme="minorHAnsi"/>
          <w:b w:val="0"/>
        </w:rPr>
      </w:pPr>
      <w:r w:rsidRPr="00AC4884">
        <w:rPr>
          <w:rFonts w:asciiTheme="minorHAnsi" w:hAnsiTheme="minorHAnsi" w:cstheme="minorHAnsi"/>
          <w:b w:val="0"/>
        </w:rPr>
        <w:t>Application Instructions</w:t>
      </w:r>
    </w:p>
    <w:p w14:paraId="05956B48" w14:textId="3BD416EF" w:rsidR="00C319D1" w:rsidRPr="00AC4884" w:rsidRDefault="007846CB">
      <w:pPr>
        <w:spacing w:before="163"/>
        <w:ind w:left="100"/>
        <w:rPr>
          <w:rFonts w:asciiTheme="minorHAnsi" w:hAnsiTheme="minorHAnsi" w:cstheme="minorHAnsi"/>
          <w:bCs/>
        </w:rPr>
      </w:pPr>
      <w:r w:rsidRPr="00AC4884">
        <w:rPr>
          <w:rFonts w:asciiTheme="minorHAnsi" w:hAnsiTheme="minorHAnsi" w:cstheme="minorHAnsi"/>
          <w:bCs/>
          <w:color w:val="333333"/>
        </w:rPr>
        <w:t xml:space="preserve">Applicants </w:t>
      </w:r>
      <w:r w:rsidR="00365AE4" w:rsidRPr="00AC4884">
        <w:rPr>
          <w:rFonts w:asciiTheme="minorHAnsi" w:hAnsiTheme="minorHAnsi" w:cstheme="minorHAnsi"/>
          <w:bCs/>
          <w:color w:val="333333"/>
        </w:rPr>
        <w:t xml:space="preserve">must </w:t>
      </w:r>
      <w:r w:rsidRPr="00AC4884">
        <w:rPr>
          <w:rFonts w:asciiTheme="minorHAnsi" w:hAnsiTheme="minorHAnsi" w:cstheme="minorHAnsi"/>
          <w:bCs/>
          <w:color w:val="333333"/>
        </w:rPr>
        <w:t xml:space="preserve">submit the following materials electronically to </w:t>
      </w:r>
      <w:proofErr w:type="spellStart"/>
      <w:r w:rsidRPr="00AC4884">
        <w:rPr>
          <w:rFonts w:asciiTheme="minorHAnsi" w:hAnsiTheme="minorHAnsi" w:cstheme="minorHAnsi"/>
          <w:bCs/>
          <w:color w:val="333333"/>
        </w:rPr>
        <w:t>Interfolio</w:t>
      </w:r>
      <w:proofErr w:type="spellEnd"/>
      <w:r w:rsidRPr="00AC4884">
        <w:rPr>
          <w:rFonts w:asciiTheme="minorHAnsi" w:hAnsiTheme="minorHAnsi" w:cstheme="minorHAnsi"/>
          <w:bCs/>
          <w:color w:val="333333"/>
        </w:rPr>
        <w:t xml:space="preserve"> at</w:t>
      </w:r>
      <w:r w:rsidR="007E39AC">
        <w:rPr>
          <w:rFonts w:asciiTheme="minorHAnsi" w:hAnsiTheme="minorHAnsi" w:cstheme="minorHAnsi"/>
          <w:bCs/>
          <w:color w:val="333333"/>
        </w:rPr>
        <w:t>:</w:t>
      </w:r>
      <w:r w:rsidRPr="00AC4884">
        <w:rPr>
          <w:rFonts w:asciiTheme="minorHAnsi" w:hAnsiTheme="minorHAnsi" w:cstheme="minorHAnsi"/>
          <w:bCs/>
          <w:color w:val="333333"/>
        </w:rPr>
        <w:t xml:space="preserve"> </w:t>
      </w:r>
      <w:r w:rsidR="00396FDE" w:rsidRPr="00396FDE">
        <w:rPr>
          <w:rFonts w:asciiTheme="minorHAnsi" w:hAnsiTheme="minorHAnsi" w:cstheme="minorHAnsi"/>
          <w:color w:val="333333"/>
          <w:shd w:val="clear" w:color="auto" w:fill="FFFFFF"/>
        </w:rPr>
        <w:t>http://apply.interfolio.com/155588</w:t>
      </w:r>
    </w:p>
    <w:p w14:paraId="504150CB" w14:textId="77777777" w:rsidR="00C319D1" w:rsidRPr="00AC4884" w:rsidRDefault="00C319D1">
      <w:pPr>
        <w:pStyle w:val="BodyText"/>
        <w:spacing w:before="11"/>
        <w:ind w:left="0"/>
        <w:rPr>
          <w:rFonts w:asciiTheme="minorHAnsi" w:hAnsiTheme="minorHAnsi" w:cstheme="minorHAnsi"/>
          <w:bCs/>
        </w:rPr>
      </w:pPr>
    </w:p>
    <w:p w14:paraId="74C558F4" w14:textId="77777777" w:rsidR="00C319D1" w:rsidRPr="00AC4884" w:rsidRDefault="007846CB">
      <w:pPr>
        <w:pStyle w:val="ListParagraph"/>
        <w:numPr>
          <w:ilvl w:val="0"/>
          <w:numId w:val="2"/>
        </w:numPr>
        <w:tabs>
          <w:tab w:val="left" w:pos="819"/>
          <w:tab w:val="left" w:pos="820"/>
        </w:tabs>
        <w:spacing w:line="256" w:lineRule="auto"/>
        <w:ind w:right="460"/>
        <w:rPr>
          <w:rFonts w:asciiTheme="minorHAnsi" w:hAnsiTheme="minorHAnsi" w:cstheme="minorHAnsi"/>
          <w:bCs/>
        </w:rPr>
      </w:pPr>
      <w:r w:rsidRPr="00AC4884">
        <w:rPr>
          <w:rFonts w:asciiTheme="minorHAnsi" w:hAnsiTheme="minorHAnsi" w:cstheme="minorHAnsi"/>
          <w:bCs/>
        </w:rPr>
        <w:t>A</w:t>
      </w:r>
      <w:r w:rsidRPr="00AC4884">
        <w:rPr>
          <w:rFonts w:asciiTheme="minorHAnsi" w:hAnsiTheme="minorHAnsi" w:cstheme="minorHAnsi"/>
          <w:bCs/>
          <w:spacing w:val="-5"/>
        </w:rPr>
        <w:t xml:space="preserve"> </w:t>
      </w:r>
      <w:r w:rsidRPr="00AC4884">
        <w:rPr>
          <w:rFonts w:asciiTheme="minorHAnsi" w:hAnsiTheme="minorHAnsi" w:cstheme="minorHAnsi"/>
          <w:bCs/>
        </w:rPr>
        <w:t>cover</w:t>
      </w:r>
      <w:r w:rsidRPr="00AC4884">
        <w:rPr>
          <w:rFonts w:asciiTheme="minorHAnsi" w:hAnsiTheme="minorHAnsi" w:cstheme="minorHAnsi"/>
          <w:bCs/>
          <w:spacing w:val="-4"/>
        </w:rPr>
        <w:t xml:space="preserve"> </w:t>
      </w:r>
      <w:r w:rsidRPr="00AC4884">
        <w:rPr>
          <w:rFonts w:asciiTheme="minorHAnsi" w:hAnsiTheme="minorHAnsi" w:cstheme="minorHAnsi"/>
          <w:bCs/>
        </w:rPr>
        <w:t>letter,</w:t>
      </w:r>
      <w:r w:rsidRPr="00AC4884">
        <w:rPr>
          <w:rFonts w:asciiTheme="minorHAnsi" w:hAnsiTheme="minorHAnsi" w:cstheme="minorHAnsi"/>
          <w:bCs/>
          <w:spacing w:val="-4"/>
        </w:rPr>
        <w:t xml:space="preserve"> </w:t>
      </w:r>
      <w:r w:rsidRPr="00AC4884">
        <w:rPr>
          <w:rFonts w:asciiTheme="minorHAnsi" w:hAnsiTheme="minorHAnsi" w:cstheme="minorHAnsi"/>
          <w:bCs/>
        </w:rPr>
        <w:t>providing</w:t>
      </w:r>
      <w:r w:rsidRPr="00AC4884">
        <w:rPr>
          <w:rFonts w:asciiTheme="minorHAnsi" w:hAnsiTheme="minorHAnsi" w:cstheme="minorHAnsi"/>
          <w:bCs/>
          <w:spacing w:val="-4"/>
        </w:rPr>
        <w:t xml:space="preserve"> </w:t>
      </w:r>
      <w:r w:rsidRPr="00AC4884">
        <w:rPr>
          <w:rFonts w:asciiTheme="minorHAnsi" w:hAnsiTheme="minorHAnsi" w:cstheme="minorHAnsi"/>
          <w:bCs/>
        </w:rPr>
        <w:t>an</w:t>
      </w:r>
      <w:r w:rsidRPr="00AC4884">
        <w:rPr>
          <w:rFonts w:asciiTheme="minorHAnsi" w:hAnsiTheme="minorHAnsi" w:cstheme="minorHAnsi"/>
          <w:bCs/>
          <w:spacing w:val="-5"/>
        </w:rPr>
        <w:t xml:space="preserve"> </w:t>
      </w:r>
      <w:r w:rsidRPr="00AC4884">
        <w:rPr>
          <w:rFonts w:asciiTheme="minorHAnsi" w:hAnsiTheme="minorHAnsi" w:cstheme="minorHAnsi"/>
          <w:bCs/>
        </w:rPr>
        <w:t>overview</w:t>
      </w:r>
      <w:r w:rsidRPr="00AC4884">
        <w:rPr>
          <w:rFonts w:asciiTheme="minorHAnsi" w:hAnsiTheme="minorHAnsi" w:cstheme="minorHAnsi"/>
          <w:bCs/>
          <w:spacing w:val="-4"/>
        </w:rPr>
        <w:t xml:space="preserve"> </w:t>
      </w:r>
      <w:r w:rsidRPr="00AC4884">
        <w:rPr>
          <w:rFonts w:asciiTheme="minorHAnsi" w:hAnsiTheme="minorHAnsi" w:cstheme="minorHAnsi"/>
          <w:bCs/>
        </w:rPr>
        <w:t>of</w:t>
      </w:r>
      <w:r w:rsidRPr="00AC4884">
        <w:rPr>
          <w:rFonts w:asciiTheme="minorHAnsi" w:hAnsiTheme="minorHAnsi" w:cstheme="minorHAnsi"/>
          <w:bCs/>
          <w:spacing w:val="-4"/>
        </w:rPr>
        <w:t xml:space="preserve"> </w:t>
      </w:r>
      <w:r w:rsidRPr="00AC4884">
        <w:rPr>
          <w:rFonts w:asciiTheme="minorHAnsi" w:hAnsiTheme="minorHAnsi" w:cstheme="minorHAnsi"/>
          <w:bCs/>
        </w:rPr>
        <w:t>your</w:t>
      </w:r>
      <w:r w:rsidRPr="00AC4884">
        <w:rPr>
          <w:rFonts w:asciiTheme="minorHAnsi" w:hAnsiTheme="minorHAnsi" w:cstheme="minorHAnsi"/>
          <w:bCs/>
          <w:spacing w:val="-4"/>
        </w:rPr>
        <w:t xml:space="preserve"> </w:t>
      </w:r>
      <w:r w:rsidRPr="00AC4884">
        <w:rPr>
          <w:rFonts w:asciiTheme="minorHAnsi" w:hAnsiTheme="minorHAnsi" w:cstheme="minorHAnsi"/>
          <w:bCs/>
        </w:rPr>
        <w:t>academic</w:t>
      </w:r>
      <w:r w:rsidRPr="00AC4884">
        <w:rPr>
          <w:rFonts w:asciiTheme="minorHAnsi" w:hAnsiTheme="minorHAnsi" w:cstheme="minorHAnsi"/>
          <w:bCs/>
          <w:spacing w:val="-4"/>
        </w:rPr>
        <w:t xml:space="preserve"> </w:t>
      </w:r>
      <w:r w:rsidRPr="00AC4884">
        <w:rPr>
          <w:rFonts w:asciiTheme="minorHAnsi" w:hAnsiTheme="minorHAnsi" w:cstheme="minorHAnsi"/>
          <w:bCs/>
        </w:rPr>
        <w:t>interests,</w:t>
      </w:r>
      <w:r w:rsidRPr="00AC4884">
        <w:rPr>
          <w:rFonts w:asciiTheme="minorHAnsi" w:hAnsiTheme="minorHAnsi" w:cstheme="minorHAnsi"/>
          <w:bCs/>
          <w:spacing w:val="-5"/>
        </w:rPr>
        <w:t xml:space="preserve"> </w:t>
      </w:r>
      <w:r w:rsidRPr="00AC4884">
        <w:rPr>
          <w:rFonts w:asciiTheme="minorHAnsi" w:hAnsiTheme="minorHAnsi" w:cstheme="minorHAnsi"/>
          <w:bCs/>
        </w:rPr>
        <w:t>qualifications,</w:t>
      </w:r>
      <w:r w:rsidRPr="00AC4884">
        <w:rPr>
          <w:rFonts w:asciiTheme="minorHAnsi" w:hAnsiTheme="minorHAnsi" w:cstheme="minorHAnsi"/>
          <w:bCs/>
          <w:spacing w:val="-4"/>
        </w:rPr>
        <w:t xml:space="preserve"> </w:t>
      </w:r>
      <w:r w:rsidRPr="00AC4884">
        <w:rPr>
          <w:rFonts w:asciiTheme="minorHAnsi" w:hAnsiTheme="minorHAnsi" w:cstheme="minorHAnsi"/>
          <w:bCs/>
        </w:rPr>
        <w:t>and</w:t>
      </w:r>
      <w:r w:rsidRPr="00AC4884">
        <w:rPr>
          <w:rFonts w:asciiTheme="minorHAnsi" w:hAnsiTheme="minorHAnsi" w:cstheme="minorHAnsi"/>
          <w:bCs/>
          <w:spacing w:val="-4"/>
        </w:rPr>
        <w:t xml:space="preserve"> </w:t>
      </w:r>
      <w:r w:rsidRPr="00AC4884">
        <w:rPr>
          <w:rFonts w:asciiTheme="minorHAnsi" w:hAnsiTheme="minorHAnsi" w:cstheme="minorHAnsi"/>
          <w:bCs/>
        </w:rPr>
        <w:t>relevant teaching and/or research experience. (</w:t>
      </w:r>
      <w:proofErr w:type="gramStart"/>
      <w:r w:rsidRPr="00AC4884">
        <w:rPr>
          <w:rFonts w:asciiTheme="minorHAnsi" w:hAnsiTheme="minorHAnsi" w:cstheme="minorHAnsi"/>
          <w:bCs/>
        </w:rPr>
        <w:t>two</w:t>
      </w:r>
      <w:proofErr w:type="gramEnd"/>
      <w:r w:rsidRPr="00AC4884">
        <w:rPr>
          <w:rFonts w:asciiTheme="minorHAnsi" w:hAnsiTheme="minorHAnsi" w:cstheme="minorHAnsi"/>
          <w:bCs/>
        </w:rPr>
        <w:t>-page</w:t>
      </w:r>
      <w:r w:rsidRPr="00AC4884">
        <w:rPr>
          <w:rFonts w:asciiTheme="minorHAnsi" w:hAnsiTheme="minorHAnsi" w:cstheme="minorHAnsi"/>
          <w:bCs/>
          <w:spacing w:val="-7"/>
        </w:rPr>
        <w:t xml:space="preserve"> </w:t>
      </w:r>
      <w:r w:rsidRPr="00AC4884">
        <w:rPr>
          <w:rFonts w:asciiTheme="minorHAnsi" w:hAnsiTheme="minorHAnsi" w:cstheme="minorHAnsi"/>
          <w:bCs/>
        </w:rPr>
        <w:t>maximum)</w:t>
      </w:r>
    </w:p>
    <w:p w14:paraId="51F28758" w14:textId="77777777" w:rsidR="00C319D1" w:rsidRPr="00AC4884" w:rsidRDefault="007846CB">
      <w:pPr>
        <w:pStyle w:val="ListParagraph"/>
        <w:numPr>
          <w:ilvl w:val="0"/>
          <w:numId w:val="2"/>
        </w:numPr>
        <w:tabs>
          <w:tab w:val="left" w:pos="819"/>
          <w:tab w:val="left" w:pos="820"/>
        </w:tabs>
        <w:spacing w:before="4" w:line="256" w:lineRule="auto"/>
        <w:ind w:right="613"/>
        <w:rPr>
          <w:rFonts w:asciiTheme="minorHAnsi" w:hAnsiTheme="minorHAnsi" w:cstheme="minorHAnsi"/>
          <w:bCs/>
        </w:rPr>
      </w:pPr>
      <w:r w:rsidRPr="00AC4884">
        <w:rPr>
          <w:rFonts w:asciiTheme="minorHAnsi" w:hAnsiTheme="minorHAnsi" w:cstheme="minorHAnsi"/>
          <w:bCs/>
        </w:rPr>
        <w:t>A curriculum vitae, including a list of courses taught, their frequency, and your role in each course (e.g., primary instructor vs. teaching</w:t>
      </w:r>
      <w:r w:rsidRPr="00AC4884">
        <w:rPr>
          <w:rFonts w:asciiTheme="minorHAnsi" w:hAnsiTheme="minorHAnsi" w:cstheme="minorHAnsi"/>
          <w:bCs/>
          <w:spacing w:val="-9"/>
        </w:rPr>
        <w:t xml:space="preserve"> </w:t>
      </w:r>
      <w:r w:rsidRPr="00AC4884">
        <w:rPr>
          <w:rFonts w:asciiTheme="minorHAnsi" w:hAnsiTheme="minorHAnsi" w:cstheme="minorHAnsi"/>
          <w:bCs/>
        </w:rPr>
        <w:t>assistant)</w:t>
      </w:r>
    </w:p>
    <w:p w14:paraId="603F1ACD" w14:textId="77777777" w:rsidR="00C319D1" w:rsidRPr="00AC4884" w:rsidRDefault="007846CB">
      <w:pPr>
        <w:pStyle w:val="ListParagraph"/>
        <w:numPr>
          <w:ilvl w:val="0"/>
          <w:numId w:val="2"/>
        </w:numPr>
        <w:tabs>
          <w:tab w:val="left" w:pos="819"/>
          <w:tab w:val="left" w:pos="820"/>
        </w:tabs>
        <w:spacing w:before="4" w:line="259" w:lineRule="auto"/>
        <w:ind w:right="183"/>
        <w:rPr>
          <w:rFonts w:asciiTheme="minorHAnsi" w:hAnsiTheme="minorHAnsi" w:cstheme="minorHAnsi"/>
          <w:bCs/>
        </w:rPr>
      </w:pPr>
      <w:r w:rsidRPr="00AC4884">
        <w:rPr>
          <w:rFonts w:asciiTheme="minorHAnsi" w:hAnsiTheme="minorHAnsi" w:cstheme="minorHAnsi"/>
          <w:bCs/>
        </w:rPr>
        <w:t>A diversity statement, describing your commitment to diversity, social equity, and inclusion, and how you have demonstrated or plan to demonstrate this in your teaching, scholarship, and service. Please describe how your work will further UWT’s commitment to diversity, equity, and inclusion (one-page</w:t>
      </w:r>
      <w:r w:rsidRPr="00AC4884">
        <w:rPr>
          <w:rFonts w:asciiTheme="minorHAnsi" w:hAnsiTheme="minorHAnsi" w:cstheme="minorHAnsi"/>
          <w:bCs/>
          <w:spacing w:val="-3"/>
        </w:rPr>
        <w:t xml:space="preserve"> </w:t>
      </w:r>
      <w:r w:rsidRPr="00AC4884">
        <w:rPr>
          <w:rFonts w:asciiTheme="minorHAnsi" w:hAnsiTheme="minorHAnsi" w:cstheme="minorHAnsi"/>
          <w:bCs/>
        </w:rPr>
        <w:t>maximum)</w:t>
      </w:r>
    </w:p>
    <w:p w14:paraId="6FF41086" w14:textId="2F20290A" w:rsidR="00C319D1" w:rsidRPr="00AC4884" w:rsidRDefault="007846CB">
      <w:pPr>
        <w:pStyle w:val="ListParagraph"/>
        <w:numPr>
          <w:ilvl w:val="0"/>
          <w:numId w:val="2"/>
        </w:numPr>
        <w:tabs>
          <w:tab w:val="left" w:pos="819"/>
          <w:tab w:val="left" w:pos="820"/>
        </w:tabs>
        <w:spacing w:line="259" w:lineRule="auto"/>
        <w:ind w:right="222"/>
        <w:rPr>
          <w:rFonts w:asciiTheme="minorHAnsi" w:hAnsiTheme="minorHAnsi" w:cstheme="minorHAnsi"/>
          <w:bCs/>
        </w:rPr>
      </w:pPr>
      <w:r w:rsidRPr="00AC4884">
        <w:rPr>
          <w:rFonts w:asciiTheme="minorHAnsi" w:hAnsiTheme="minorHAnsi" w:cstheme="minorHAnsi"/>
          <w:bCs/>
        </w:rPr>
        <w:t>A research statement, including an assessment of the impact of your research, a concise description of planned research areas, and plans for seeking additional support and/or funding. Please include how you will involve and support the success of UWT students in your research and/or research area (one-page</w:t>
      </w:r>
      <w:r w:rsidRPr="00AC4884">
        <w:rPr>
          <w:rFonts w:asciiTheme="minorHAnsi" w:hAnsiTheme="minorHAnsi" w:cstheme="minorHAnsi"/>
          <w:bCs/>
          <w:spacing w:val="-4"/>
        </w:rPr>
        <w:t xml:space="preserve"> </w:t>
      </w:r>
      <w:r w:rsidRPr="00AC4884">
        <w:rPr>
          <w:rFonts w:asciiTheme="minorHAnsi" w:hAnsiTheme="minorHAnsi" w:cstheme="minorHAnsi"/>
          <w:bCs/>
        </w:rPr>
        <w:t>maximum)</w:t>
      </w:r>
    </w:p>
    <w:p w14:paraId="012ACDA9" w14:textId="77777777" w:rsidR="00C319D1" w:rsidRPr="00AC4884" w:rsidRDefault="007846CB">
      <w:pPr>
        <w:pStyle w:val="ListParagraph"/>
        <w:numPr>
          <w:ilvl w:val="0"/>
          <w:numId w:val="2"/>
        </w:numPr>
        <w:tabs>
          <w:tab w:val="left" w:pos="819"/>
          <w:tab w:val="left" w:pos="820"/>
        </w:tabs>
        <w:spacing w:line="256" w:lineRule="auto"/>
        <w:ind w:right="314"/>
        <w:rPr>
          <w:rFonts w:asciiTheme="minorHAnsi" w:hAnsiTheme="minorHAnsi" w:cstheme="minorHAnsi"/>
          <w:bCs/>
        </w:rPr>
      </w:pPr>
      <w:r w:rsidRPr="00AC4884">
        <w:rPr>
          <w:rFonts w:asciiTheme="minorHAnsi" w:hAnsiTheme="minorHAnsi" w:cstheme="minorHAnsi"/>
          <w:bCs/>
        </w:rPr>
        <w:t>A teaching statement, describing your teaching philosophy and including methods you use (or intend to use) and high-impact teaching practices that you use (or intend to use). (</w:t>
      </w:r>
      <w:proofErr w:type="gramStart"/>
      <w:r w:rsidRPr="00AC4884">
        <w:rPr>
          <w:rFonts w:asciiTheme="minorHAnsi" w:hAnsiTheme="minorHAnsi" w:cstheme="minorHAnsi"/>
          <w:bCs/>
        </w:rPr>
        <w:t>one</w:t>
      </w:r>
      <w:proofErr w:type="gramEnd"/>
      <w:r w:rsidRPr="00AC4884">
        <w:rPr>
          <w:rFonts w:asciiTheme="minorHAnsi" w:hAnsiTheme="minorHAnsi" w:cstheme="minorHAnsi"/>
          <w:bCs/>
        </w:rPr>
        <w:t>-page maximum)</w:t>
      </w:r>
    </w:p>
    <w:p w14:paraId="62206BF0" w14:textId="77777777" w:rsidR="00C319D1" w:rsidRPr="00AC4884" w:rsidRDefault="00C319D1">
      <w:pPr>
        <w:spacing w:line="256" w:lineRule="auto"/>
        <w:rPr>
          <w:rFonts w:asciiTheme="minorHAnsi" w:hAnsiTheme="minorHAnsi" w:cstheme="minorHAnsi"/>
          <w:bCs/>
        </w:rPr>
        <w:sectPr w:rsidR="00C319D1" w:rsidRPr="00AC4884">
          <w:pgSz w:w="12240" w:h="15840"/>
          <w:pgMar w:top="1360" w:right="1340" w:bottom="280" w:left="1340" w:header="720" w:footer="720" w:gutter="0"/>
          <w:cols w:space="720"/>
        </w:sectPr>
      </w:pPr>
    </w:p>
    <w:p w14:paraId="10D9C217" w14:textId="0A6C1360" w:rsidR="00C319D1" w:rsidRPr="00AC4884" w:rsidRDefault="007846CB">
      <w:pPr>
        <w:pStyle w:val="ListParagraph"/>
        <w:numPr>
          <w:ilvl w:val="0"/>
          <w:numId w:val="2"/>
        </w:numPr>
        <w:tabs>
          <w:tab w:val="left" w:pos="819"/>
          <w:tab w:val="left" w:pos="820"/>
        </w:tabs>
        <w:spacing w:before="84" w:line="256" w:lineRule="auto"/>
        <w:ind w:right="709"/>
        <w:rPr>
          <w:rFonts w:asciiTheme="minorHAnsi" w:hAnsiTheme="minorHAnsi" w:cstheme="minorHAnsi"/>
          <w:bCs/>
        </w:rPr>
      </w:pPr>
      <w:r w:rsidRPr="00AC4884">
        <w:rPr>
          <w:rFonts w:asciiTheme="minorHAnsi" w:hAnsiTheme="minorHAnsi" w:cstheme="minorHAnsi"/>
          <w:bCs/>
        </w:rPr>
        <w:lastRenderedPageBreak/>
        <w:t xml:space="preserve">Evidence of teaching </w:t>
      </w:r>
      <w:r w:rsidR="00365AE4" w:rsidRPr="00AC4884">
        <w:rPr>
          <w:rFonts w:asciiTheme="minorHAnsi" w:hAnsiTheme="minorHAnsi" w:cstheme="minorHAnsi"/>
          <w:bCs/>
        </w:rPr>
        <w:t>excellence</w:t>
      </w:r>
      <w:r w:rsidRPr="00AC4884">
        <w:rPr>
          <w:rFonts w:asciiTheme="minorHAnsi" w:hAnsiTheme="minorHAnsi" w:cstheme="minorHAnsi"/>
          <w:bCs/>
        </w:rPr>
        <w:t>. This might include sample syllabi, quantitative and/or qualitative student evaluations, and/or peer teaching</w:t>
      </w:r>
      <w:r w:rsidRPr="00AC4884">
        <w:rPr>
          <w:rFonts w:asciiTheme="minorHAnsi" w:hAnsiTheme="minorHAnsi" w:cstheme="minorHAnsi"/>
          <w:bCs/>
          <w:spacing w:val="-10"/>
        </w:rPr>
        <w:t xml:space="preserve"> </w:t>
      </w:r>
      <w:r w:rsidRPr="00AC4884">
        <w:rPr>
          <w:rFonts w:asciiTheme="minorHAnsi" w:hAnsiTheme="minorHAnsi" w:cstheme="minorHAnsi"/>
          <w:bCs/>
        </w:rPr>
        <w:t>evaluations.</w:t>
      </w:r>
    </w:p>
    <w:p w14:paraId="0CF79A84" w14:textId="77777777" w:rsidR="00C319D1" w:rsidRPr="00AC4884" w:rsidRDefault="007846CB">
      <w:pPr>
        <w:pStyle w:val="ListParagraph"/>
        <w:numPr>
          <w:ilvl w:val="0"/>
          <w:numId w:val="2"/>
        </w:numPr>
        <w:tabs>
          <w:tab w:val="left" w:pos="819"/>
          <w:tab w:val="left" w:pos="820"/>
        </w:tabs>
        <w:spacing w:before="4" w:line="256" w:lineRule="auto"/>
        <w:ind w:right="359"/>
        <w:rPr>
          <w:rFonts w:asciiTheme="minorHAnsi" w:hAnsiTheme="minorHAnsi" w:cstheme="minorHAnsi"/>
          <w:bCs/>
        </w:rPr>
      </w:pPr>
      <w:r w:rsidRPr="00AC4884">
        <w:rPr>
          <w:rFonts w:asciiTheme="minorHAnsi" w:hAnsiTheme="minorHAnsi" w:cstheme="minorHAnsi"/>
          <w:bCs/>
        </w:rPr>
        <w:t>Names and contact information for three professional references with letters available upon request.</w:t>
      </w:r>
    </w:p>
    <w:p w14:paraId="28A4EDE0" w14:textId="4669ED4E" w:rsidR="00C319D1" w:rsidRPr="00AC4884" w:rsidRDefault="007846CB" w:rsidP="008523C1">
      <w:pPr>
        <w:pStyle w:val="BodyText"/>
        <w:spacing w:before="164" w:line="259" w:lineRule="auto"/>
        <w:ind w:left="100" w:right="104"/>
        <w:rPr>
          <w:rFonts w:asciiTheme="minorHAnsi" w:hAnsiTheme="minorHAnsi" w:cstheme="minorHAnsi"/>
          <w:bCs/>
        </w:rPr>
        <w:sectPr w:rsidR="00C319D1" w:rsidRPr="00AC4884">
          <w:pgSz w:w="12240" w:h="15840"/>
          <w:pgMar w:top="1360" w:right="1340" w:bottom="280" w:left="1340" w:header="720" w:footer="720" w:gutter="0"/>
          <w:cols w:space="720"/>
        </w:sectPr>
      </w:pPr>
      <w:r w:rsidRPr="007E68A1">
        <w:rPr>
          <w:rFonts w:asciiTheme="minorHAnsi" w:hAnsiTheme="minorHAnsi" w:cstheme="minorHAnsi"/>
          <w:bCs/>
          <w:sz w:val="24"/>
          <w:szCs w:val="24"/>
        </w:rPr>
        <w:t>All application materials</w:t>
      </w:r>
      <w:r w:rsidRPr="00AC4884">
        <w:rPr>
          <w:rFonts w:asciiTheme="minorHAnsi" w:hAnsiTheme="minorHAnsi" w:cstheme="minorHAnsi"/>
          <w:bCs/>
        </w:rPr>
        <w:t xml:space="preserve"> must be submitted through </w:t>
      </w:r>
      <w:proofErr w:type="spellStart"/>
      <w:r w:rsidRPr="00AC4884">
        <w:rPr>
          <w:rFonts w:asciiTheme="minorHAnsi" w:hAnsiTheme="minorHAnsi" w:cstheme="minorHAnsi"/>
          <w:bCs/>
        </w:rPr>
        <w:t>Interfolio</w:t>
      </w:r>
      <w:proofErr w:type="spellEnd"/>
      <w:r w:rsidR="00365AE4" w:rsidRPr="00AC4884">
        <w:rPr>
          <w:rFonts w:asciiTheme="minorHAnsi" w:hAnsiTheme="minorHAnsi" w:cstheme="minorHAnsi"/>
          <w:bCs/>
        </w:rPr>
        <w:t xml:space="preserve"> at </w:t>
      </w:r>
      <w:hyperlink r:id="rId7" w:history="1">
        <w:r w:rsidR="00396FDE" w:rsidRPr="00396FDE">
          <w:rPr>
            <w:rStyle w:val="Hyperlink"/>
            <w:rFonts w:asciiTheme="minorHAnsi" w:hAnsiTheme="minorHAnsi" w:cstheme="minorHAnsi"/>
            <w:shd w:val="clear" w:color="auto" w:fill="FFFFFF"/>
          </w:rPr>
          <w:t>http://apply.interfolio.com/155588</w:t>
        </w:r>
      </w:hyperlink>
      <w:r w:rsidR="00396FDE">
        <w:rPr>
          <w:rFonts w:ascii="Roboto" w:hAnsi="Roboto"/>
          <w:color w:val="333333"/>
          <w:shd w:val="clear" w:color="auto" w:fill="FFFFFF"/>
        </w:rPr>
        <w:t xml:space="preserve">. </w:t>
      </w:r>
      <w:r w:rsidRPr="00AC4884">
        <w:rPr>
          <w:rFonts w:asciiTheme="minorHAnsi" w:hAnsiTheme="minorHAnsi" w:cstheme="minorHAnsi"/>
          <w:bCs/>
        </w:rPr>
        <w:t xml:space="preserve">Application materials received via mail or email will not be considered. Screening of applications will begin on October </w:t>
      </w:r>
      <w:r w:rsidR="00365AE4" w:rsidRPr="00AC4884">
        <w:rPr>
          <w:rFonts w:asciiTheme="minorHAnsi" w:hAnsiTheme="minorHAnsi" w:cstheme="minorHAnsi"/>
          <w:bCs/>
        </w:rPr>
        <w:t>22</w:t>
      </w:r>
      <w:r w:rsidRPr="00AC4884">
        <w:rPr>
          <w:rFonts w:asciiTheme="minorHAnsi" w:hAnsiTheme="minorHAnsi" w:cstheme="minorHAnsi"/>
          <w:bCs/>
        </w:rPr>
        <w:t xml:space="preserve">, 2024 and will continue until the position is filled. For further information or specific inquiries, please contact Dr. Claudia Sellmaier, search committee Chair, at </w:t>
      </w:r>
      <w:hyperlink r:id="rId8">
        <w:r w:rsidRPr="00AC4884">
          <w:rPr>
            <w:rFonts w:asciiTheme="minorHAnsi" w:hAnsiTheme="minorHAnsi" w:cstheme="minorHAnsi"/>
            <w:bCs/>
            <w:color w:val="0563C1"/>
            <w:u w:val="single" w:color="0563C1"/>
          </w:rPr>
          <w:t>sellmaic@uw.edu</w:t>
        </w:r>
        <w:r w:rsidRPr="00AC4884">
          <w:rPr>
            <w:rFonts w:asciiTheme="minorHAnsi" w:hAnsiTheme="minorHAnsi" w:cstheme="minorHAnsi"/>
            <w:bCs/>
          </w:rPr>
          <w:t>.</w:t>
        </w:r>
      </w:hyperlink>
    </w:p>
    <w:p w14:paraId="2CAB60CB" w14:textId="74CADF09" w:rsidR="00C319D1" w:rsidRPr="00AC4884" w:rsidRDefault="00C319D1" w:rsidP="00D44CF5">
      <w:pPr>
        <w:pStyle w:val="BodyText"/>
        <w:spacing w:before="6"/>
        <w:ind w:left="0"/>
        <w:rPr>
          <w:rFonts w:asciiTheme="minorHAnsi" w:hAnsiTheme="minorHAnsi" w:cstheme="minorHAnsi"/>
          <w:bCs/>
        </w:rPr>
      </w:pPr>
    </w:p>
    <w:sectPr w:rsidR="00C319D1" w:rsidRPr="00AC488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23BF6"/>
    <w:multiLevelType w:val="hybridMultilevel"/>
    <w:tmpl w:val="FCA4CEDE"/>
    <w:lvl w:ilvl="0" w:tplc="A7226540">
      <w:numFmt w:val="bullet"/>
      <w:lvlText w:val="*"/>
      <w:lvlJc w:val="left"/>
      <w:pPr>
        <w:ind w:left="259" w:hanging="160"/>
      </w:pPr>
      <w:rPr>
        <w:rFonts w:ascii="Calibri" w:eastAsia="Calibri" w:hAnsi="Calibri" w:cs="Calibri" w:hint="default"/>
        <w:w w:val="100"/>
        <w:sz w:val="22"/>
        <w:szCs w:val="22"/>
      </w:rPr>
    </w:lvl>
    <w:lvl w:ilvl="1" w:tplc="E68047E0">
      <w:numFmt w:val="bullet"/>
      <w:lvlText w:val=""/>
      <w:lvlJc w:val="left"/>
      <w:pPr>
        <w:ind w:left="820" w:hanging="360"/>
      </w:pPr>
      <w:rPr>
        <w:rFonts w:ascii="Symbol" w:eastAsia="Symbol" w:hAnsi="Symbol" w:cs="Symbol" w:hint="default"/>
        <w:w w:val="100"/>
        <w:sz w:val="22"/>
        <w:szCs w:val="22"/>
      </w:rPr>
    </w:lvl>
    <w:lvl w:ilvl="2" w:tplc="C840C514">
      <w:numFmt w:val="bullet"/>
      <w:lvlText w:val="•"/>
      <w:lvlJc w:val="left"/>
      <w:pPr>
        <w:ind w:left="1791" w:hanging="360"/>
      </w:pPr>
      <w:rPr>
        <w:rFonts w:hint="default"/>
      </w:rPr>
    </w:lvl>
    <w:lvl w:ilvl="3" w:tplc="0340EAF2">
      <w:numFmt w:val="bullet"/>
      <w:lvlText w:val="•"/>
      <w:lvlJc w:val="left"/>
      <w:pPr>
        <w:ind w:left="2762" w:hanging="360"/>
      </w:pPr>
      <w:rPr>
        <w:rFonts w:hint="default"/>
      </w:rPr>
    </w:lvl>
    <w:lvl w:ilvl="4" w:tplc="F19C9EB4">
      <w:numFmt w:val="bullet"/>
      <w:lvlText w:val="•"/>
      <w:lvlJc w:val="left"/>
      <w:pPr>
        <w:ind w:left="3733" w:hanging="360"/>
      </w:pPr>
      <w:rPr>
        <w:rFonts w:hint="default"/>
      </w:rPr>
    </w:lvl>
    <w:lvl w:ilvl="5" w:tplc="CC0EE5E0">
      <w:numFmt w:val="bullet"/>
      <w:lvlText w:val="•"/>
      <w:lvlJc w:val="left"/>
      <w:pPr>
        <w:ind w:left="4704" w:hanging="360"/>
      </w:pPr>
      <w:rPr>
        <w:rFonts w:hint="default"/>
      </w:rPr>
    </w:lvl>
    <w:lvl w:ilvl="6" w:tplc="7ED8C8A0">
      <w:numFmt w:val="bullet"/>
      <w:lvlText w:val="•"/>
      <w:lvlJc w:val="left"/>
      <w:pPr>
        <w:ind w:left="5675" w:hanging="360"/>
      </w:pPr>
      <w:rPr>
        <w:rFonts w:hint="default"/>
      </w:rPr>
    </w:lvl>
    <w:lvl w:ilvl="7" w:tplc="5E02F61A">
      <w:numFmt w:val="bullet"/>
      <w:lvlText w:val="•"/>
      <w:lvlJc w:val="left"/>
      <w:pPr>
        <w:ind w:left="6646" w:hanging="360"/>
      </w:pPr>
      <w:rPr>
        <w:rFonts w:hint="default"/>
      </w:rPr>
    </w:lvl>
    <w:lvl w:ilvl="8" w:tplc="CA885734">
      <w:numFmt w:val="bullet"/>
      <w:lvlText w:val="•"/>
      <w:lvlJc w:val="left"/>
      <w:pPr>
        <w:ind w:left="7617" w:hanging="360"/>
      </w:pPr>
      <w:rPr>
        <w:rFonts w:hint="default"/>
      </w:rPr>
    </w:lvl>
  </w:abstractNum>
  <w:abstractNum w:abstractNumId="1" w15:restartNumberingAfterBreak="0">
    <w:nsid w:val="695410EB"/>
    <w:multiLevelType w:val="hybridMultilevel"/>
    <w:tmpl w:val="840078A8"/>
    <w:lvl w:ilvl="0" w:tplc="5CE8B56E">
      <w:numFmt w:val="bullet"/>
      <w:lvlText w:val=""/>
      <w:lvlJc w:val="left"/>
      <w:pPr>
        <w:ind w:left="820" w:hanging="360"/>
      </w:pPr>
      <w:rPr>
        <w:rFonts w:ascii="Symbol" w:eastAsia="Symbol" w:hAnsi="Symbol" w:cs="Symbol" w:hint="default"/>
        <w:w w:val="100"/>
        <w:sz w:val="22"/>
        <w:szCs w:val="22"/>
      </w:rPr>
    </w:lvl>
    <w:lvl w:ilvl="1" w:tplc="C99CFF22">
      <w:numFmt w:val="bullet"/>
      <w:lvlText w:val="•"/>
      <w:lvlJc w:val="left"/>
      <w:pPr>
        <w:ind w:left="1694" w:hanging="360"/>
      </w:pPr>
      <w:rPr>
        <w:rFonts w:hint="default"/>
      </w:rPr>
    </w:lvl>
    <w:lvl w:ilvl="2" w:tplc="721279D8">
      <w:numFmt w:val="bullet"/>
      <w:lvlText w:val="•"/>
      <w:lvlJc w:val="left"/>
      <w:pPr>
        <w:ind w:left="2568" w:hanging="360"/>
      </w:pPr>
      <w:rPr>
        <w:rFonts w:hint="default"/>
      </w:rPr>
    </w:lvl>
    <w:lvl w:ilvl="3" w:tplc="ECF40F56">
      <w:numFmt w:val="bullet"/>
      <w:lvlText w:val="•"/>
      <w:lvlJc w:val="left"/>
      <w:pPr>
        <w:ind w:left="3442" w:hanging="360"/>
      </w:pPr>
      <w:rPr>
        <w:rFonts w:hint="default"/>
      </w:rPr>
    </w:lvl>
    <w:lvl w:ilvl="4" w:tplc="9AD0C8B8">
      <w:numFmt w:val="bullet"/>
      <w:lvlText w:val="•"/>
      <w:lvlJc w:val="left"/>
      <w:pPr>
        <w:ind w:left="4316" w:hanging="360"/>
      </w:pPr>
      <w:rPr>
        <w:rFonts w:hint="default"/>
      </w:rPr>
    </w:lvl>
    <w:lvl w:ilvl="5" w:tplc="CBF2A0CC">
      <w:numFmt w:val="bullet"/>
      <w:lvlText w:val="•"/>
      <w:lvlJc w:val="left"/>
      <w:pPr>
        <w:ind w:left="5190" w:hanging="360"/>
      </w:pPr>
      <w:rPr>
        <w:rFonts w:hint="default"/>
      </w:rPr>
    </w:lvl>
    <w:lvl w:ilvl="6" w:tplc="527026E0">
      <w:numFmt w:val="bullet"/>
      <w:lvlText w:val="•"/>
      <w:lvlJc w:val="left"/>
      <w:pPr>
        <w:ind w:left="6064" w:hanging="360"/>
      </w:pPr>
      <w:rPr>
        <w:rFonts w:hint="default"/>
      </w:rPr>
    </w:lvl>
    <w:lvl w:ilvl="7" w:tplc="B33CB9FE">
      <w:numFmt w:val="bullet"/>
      <w:lvlText w:val="•"/>
      <w:lvlJc w:val="left"/>
      <w:pPr>
        <w:ind w:left="6938" w:hanging="360"/>
      </w:pPr>
      <w:rPr>
        <w:rFonts w:hint="default"/>
      </w:rPr>
    </w:lvl>
    <w:lvl w:ilvl="8" w:tplc="E9A86930">
      <w:numFmt w:val="bullet"/>
      <w:lvlText w:val="•"/>
      <w:lvlJc w:val="left"/>
      <w:pPr>
        <w:ind w:left="78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D1"/>
    <w:rsid w:val="000F0947"/>
    <w:rsid w:val="00151383"/>
    <w:rsid w:val="001579EB"/>
    <w:rsid w:val="00355ED8"/>
    <w:rsid w:val="00365AE4"/>
    <w:rsid w:val="00396FDE"/>
    <w:rsid w:val="003B4567"/>
    <w:rsid w:val="004E19F4"/>
    <w:rsid w:val="007846CB"/>
    <w:rsid w:val="007E39AC"/>
    <w:rsid w:val="007E68A1"/>
    <w:rsid w:val="008523C1"/>
    <w:rsid w:val="009517AA"/>
    <w:rsid w:val="00A622F3"/>
    <w:rsid w:val="00AB1465"/>
    <w:rsid w:val="00AC4884"/>
    <w:rsid w:val="00AD118A"/>
    <w:rsid w:val="00C30CC6"/>
    <w:rsid w:val="00C319D1"/>
    <w:rsid w:val="00C7744B"/>
    <w:rsid w:val="00D44CF5"/>
    <w:rsid w:val="00E72321"/>
    <w:rsid w:val="00E93CFC"/>
    <w:rsid w:val="00E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5AA7"/>
  <w15:docId w15:val="{C747F914-5213-433D-9C23-C0CB578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65AE4"/>
    <w:rPr>
      <w:sz w:val="16"/>
      <w:szCs w:val="16"/>
    </w:rPr>
  </w:style>
  <w:style w:type="paragraph" w:styleId="CommentText">
    <w:name w:val="annotation text"/>
    <w:basedOn w:val="Normal"/>
    <w:link w:val="CommentTextChar"/>
    <w:uiPriority w:val="99"/>
    <w:semiHidden/>
    <w:unhideWhenUsed/>
    <w:rsid w:val="00365AE4"/>
    <w:rPr>
      <w:sz w:val="20"/>
      <w:szCs w:val="20"/>
    </w:rPr>
  </w:style>
  <w:style w:type="character" w:customStyle="1" w:styleId="CommentTextChar">
    <w:name w:val="Comment Text Char"/>
    <w:basedOn w:val="DefaultParagraphFont"/>
    <w:link w:val="CommentText"/>
    <w:uiPriority w:val="99"/>
    <w:semiHidden/>
    <w:rsid w:val="00365AE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65AE4"/>
    <w:rPr>
      <w:b/>
      <w:bCs/>
    </w:rPr>
  </w:style>
  <w:style w:type="character" w:customStyle="1" w:styleId="CommentSubjectChar">
    <w:name w:val="Comment Subject Char"/>
    <w:basedOn w:val="CommentTextChar"/>
    <w:link w:val="CommentSubject"/>
    <w:uiPriority w:val="99"/>
    <w:semiHidden/>
    <w:rsid w:val="00365AE4"/>
    <w:rPr>
      <w:rFonts w:ascii="Calibri" w:eastAsia="Calibri" w:hAnsi="Calibri" w:cs="Calibri"/>
      <w:b/>
      <w:bCs/>
      <w:sz w:val="20"/>
      <w:szCs w:val="20"/>
    </w:rPr>
  </w:style>
  <w:style w:type="paragraph" w:styleId="Revision">
    <w:name w:val="Revision"/>
    <w:hidden/>
    <w:uiPriority w:val="99"/>
    <w:semiHidden/>
    <w:rsid w:val="003B4567"/>
    <w:pPr>
      <w:widowControl/>
      <w:autoSpaceDE/>
      <w:autoSpaceDN/>
    </w:pPr>
    <w:rPr>
      <w:rFonts w:ascii="Calibri" w:eastAsia="Calibri" w:hAnsi="Calibri" w:cs="Calibri"/>
    </w:rPr>
  </w:style>
  <w:style w:type="character" w:styleId="Hyperlink">
    <w:name w:val="Hyperlink"/>
    <w:basedOn w:val="DefaultParagraphFont"/>
    <w:uiPriority w:val="99"/>
    <w:unhideWhenUsed/>
    <w:rsid w:val="00AB1465"/>
    <w:rPr>
      <w:color w:val="0000FF" w:themeColor="hyperlink"/>
      <w:u w:val="single"/>
    </w:rPr>
  </w:style>
  <w:style w:type="character" w:styleId="UnresolvedMention">
    <w:name w:val="Unresolved Mention"/>
    <w:basedOn w:val="DefaultParagraphFont"/>
    <w:uiPriority w:val="99"/>
    <w:semiHidden/>
    <w:unhideWhenUsed/>
    <w:rsid w:val="00AB1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llmaic@uw.edu" TargetMode="External"/><Relationship Id="rId3" Type="http://schemas.openxmlformats.org/officeDocument/2006/relationships/settings" Target="settings.xml"/><Relationship Id="rId7" Type="http://schemas.openxmlformats.org/officeDocument/2006/relationships/hyperlink" Target="http://apply.interfolio.com/155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coma.uw.edu/community-partnerships" TargetMode="External"/><Relationship Id="rId5" Type="http://schemas.openxmlformats.org/officeDocument/2006/relationships/hyperlink" Target="http://www.tacoma.uw.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sdaviesb</dc:creator>
  <cp:lastModifiedBy>Diana C Brackett</cp:lastModifiedBy>
  <cp:revision>10</cp:revision>
  <dcterms:created xsi:type="dcterms:W3CDTF">2024-09-24T21:53:00Z</dcterms:created>
  <dcterms:modified xsi:type="dcterms:W3CDTF">2024-10-28T23:36:00Z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2024-08-13T00:00:00Z</vt:filetime>
  </property>
  <property fmtid="{D5CDD505-2E9C-101B-9397-08002B2CF9AE}" pid="3" name="LastSaved">
    <vt:filetime>2024-09-11T00:00:00Z</vt:filetime>
  </property>
</Properties>
</file>